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3D3" w14:textId="77777777" w:rsidR="00327913" w:rsidRPr="00327913" w:rsidRDefault="00327913" w:rsidP="00327913">
      <w:pPr>
        <w:autoSpaceDE w:val="0"/>
        <w:autoSpaceDN w:val="0"/>
        <w:adjustRightInd w:val="0"/>
        <w:spacing w:before="29" w:line="271" w:lineRule="exact"/>
        <w:ind w:right="10"/>
        <w:jc w:val="center"/>
        <w:rPr>
          <w:b/>
          <w:bCs/>
          <w:position w:val="-1"/>
          <w:sz w:val="28"/>
          <w:szCs w:val="28"/>
        </w:rPr>
      </w:pPr>
      <w:r w:rsidRPr="00327913">
        <w:rPr>
          <w:b/>
          <w:bCs/>
          <w:position w:val="-1"/>
          <w:sz w:val="28"/>
          <w:szCs w:val="28"/>
        </w:rPr>
        <w:t xml:space="preserve">EXHIBIT E     </w:t>
      </w:r>
    </w:p>
    <w:p w14:paraId="47B5B3D8" w14:textId="77777777" w:rsidR="00327913" w:rsidRPr="00327913" w:rsidRDefault="00327913" w:rsidP="00327913">
      <w:pPr>
        <w:autoSpaceDE w:val="0"/>
        <w:autoSpaceDN w:val="0"/>
        <w:adjustRightInd w:val="0"/>
        <w:spacing w:before="29" w:line="271" w:lineRule="exact"/>
        <w:ind w:right="10"/>
        <w:jc w:val="center"/>
        <w:rPr>
          <w:b/>
          <w:bCs/>
          <w:position w:val="-1"/>
          <w:sz w:val="28"/>
          <w:szCs w:val="28"/>
        </w:rPr>
      </w:pPr>
      <w:r w:rsidRPr="00327913">
        <w:rPr>
          <w:b/>
          <w:bCs/>
          <w:position w:val="-1"/>
          <w:sz w:val="28"/>
          <w:szCs w:val="28"/>
        </w:rPr>
        <w:t>Form of Security Instruments</w:t>
      </w:r>
    </w:p>
    <w:p w14:paraId="20C1362B" w14:textId="77777777" w:rsidR="00327913" w:rsidRPr="00327913" w:rsidRDefault="00327913" w:rsidP="00327913">
      <w:pPr>
        <w:autoSpaceDE w:val="0"/>
        <w:autoSpaceDN w:val="0"/>
        <w:adjustRightInd w:val="0"/>
        <w:spacing w:before="29" w:line="271" w:lineRule="exact"/>
        <w:ind w:right="10"/>
        <w:jc w:val="center"/>
        <w:rPr>
          <w:b/>
          <w:bCs/>
          <w:position w:val="-1"/>
          <w:sz w:val="28"/>
          <w:szCs w:val="28"/>
        </w:rPr>
      </w:pPr>
    </w:p>
    <w:p w14:paraId="2F47DB26" w14:textId="77777777" w:rsidR="00327913" w:rsidRPr="00327913" w:rsidRDefault="00327913" w:rsidP="00327913">
      <w:pPr>
        <w:autoSpaceDE w:val="0"/>
        <w:autoSpaceDN w:val="0"/>
        <w:adjustRightInd w:val="0"/>
        <w:spacing w:before="29" w:line="271" w:lineRule="exact"/>
        <w:ind w:right="10"/>
        <w:jc w:val="center"/>
        <w:rPr>
          <w:b/>
          <w:bCs/>
          <w:position w:val="-1"/>
          <w:sz w:val="28"/>
          <w:szCs w:val="28"/>
        </w:rPr>
      </w:pPr>
      <w:r w:rsidRPr="00327913">
        <w:rPr>
          <w:b/>
          <w:bCs/>
          <w:position w:val="-1"/>
          <w:sz w:val="28"/>
          <w:szCs w:val="28"/>
        </w:rPr>
        <w:t>Exhibit E-1</w:t>
      </w:r>
    </w:p>
    <w:p w14:paraId="32C91703" w14:textId="70B8D479" w:rsidR="00327913" w:rsidRPr="00327913" w:rsidRDefault="00327913" w:rsidP="00327913">
      <w:pPr>
        <w:autoSpaceDE w:val="0"/>
        <w:autoSpaceDN w:val="0"/>
        <w:adjustRightInd w:val="0"/>
        <w:spacing w:before="29" w:line="271" w:lineRule="exact"/>
        <w:ind w:right="10"/>
        <w:jc w:val="center"/>
        <w:rPr>
          <w:b/>
          <w:bCs/>
          <w:position w:val="-1"/>
          <w:sz w:val="28"/>
          <w:szCs w:val="28"/>
        </w:rPr>
      </w:pPr>
      <w:r w:rsidRPr="00327913">
        <w:rPr>
          <w:b/>
          <w:bCs/>
          <w:position w:val="-1"/>
          <w:sz w:val="28"/>
          <w:szCs w:val="28"/>
        </w:rPr>
        <w:t>Form of Letter of Credit</w:t>
      </w:r>
    </w:p>
    <w:p w14:paraId="7DBC1FA3" w14:textId="77777777" w:rsidR="00327913" w:rsidRPr="00327913" w:rsidRDefault="00327913" w:rsidP="00327913">
      <w:pPr>
        <w:autoSpaceDE w:val="0"/>
        <w:autoSpaceDN w:val="0"/>
        <w:adjustRightInd w:val="0"/>
        <w:spacing w:before="29" w:line="271" w:lineRule="exact"/>
        <w:ind w:right="10"/>
        <w:jc w:val="center"/>
        <w:rPr>
          <w:b/>
          <w:bCs/>
          <w:position w:val="-1"/>
          <w:sz w:val="28"/>
          <w:szCs w:val="28"/>
          <w:u w:val="thick"/>
        </w:rPr>
      </w:pPr>
    </w:p>
    <w:p w14:paraId="53756B30" w14:textId="7D75FF1E" w:rsidR="000116F8" w:rsidRDefault="000116F8" w:rsidP="000116F8">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5A9DF105" w14:textId="77777777" w:rsidR="000116F8" w:rsidRDefault="000116F8" w:rsidP="000116F8">
      <w:pPr>
        <w:autoSpaceDE w:val="0"/>
        <w:autoSpaceDN w:val="0"/>
        <w:adjustRightInd w:val="0"/>
        <w:spacing w:before="7" w:line="240" w:lineRule="exact"/>
        <w:rPr>
          <w:sz w:val="20"/>
          <w:szCs w:val="20"/>
        </w:rPr>
      </w:pPr>
    </w:p>
    <w:p w14:paraId="78342BD3" w14:textId="77777777" w:rsidR="000116F8" w:rsidRDefault="000116F8" w:rsidP="000116F8">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048223C9" w14:textId="77777777" w:rsidR="000116F8" w:rsidRDefault="000116F8" w:rsidP="000116F8">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FA37950" w14:textId="77777777" w:rsidR="000116F8" w:rsidRDefault="000116F8" w:rsidP="000116F8">
      <w:pPr>
        <w:tabs>
          <w:tab w:val="left" w:pos="5240"/>
        </w:tabs>
        <w:autoSpaceDE w:val="0"/>
        <w:autoSpaceDN w:val="0"/>
        <w:adjustRightInd w:val="0"/>
        <w:spacing w:before="29"/>
        <w:ind w:left="931" w:right="1292" w:hanging="931"/>
        <w:rPr>
          <w:sz w:val="20"/>
          <w:szCs w:val="20"/>
        </w:rPr>
      </w:pPr>
    </w:p>
    <w:p w14:paraId="0D71BABF" w14:textId="77777777" w:rsidR="000116F8" w:rsidRDefault="000116F8" w:rsidP="000116F8">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5F15EC34" w14:textId="77777777" w:rsidR="000116F8" w:rsidRDefault="000116F8" w:rsidP="000116F8">
      <w:pPr>
        <w:tabs>
          <w:tab w:val="left" w:pos="5240"/>
        </w:tabs>
        <w:autoSpaceDE w:val="0"/>
        <w:autoSpaceDN w:val="0"/>
        <w:adjustRightInd w:val="0"/>
        <w:spacing w:before="29"/>
        <w:ind w:left="931" w:right="1292" w:hanging="931"/>
        <w:rPr>
          <w:sz w:val="20"/>
          <w:szCs w:val="20"/>
        </w:rPr>
      </w:pPr>
    </w:p>
    <w:p w14:paraId="67137748" w14:textId="77777777" w:rsidR="000116F8" w:rsidRDefault="000116F8" w:rsidP="000116F8">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0D3F0AD" w14:textId="77777777" w:rsidR="000116F8" w:rsidRDefault="000116F8" w:rsidP="000116F8">
      <w:pPr>
        <w:autoSpaceDE w:val="0"/>
        <w:autoSpaceDN w:val="0"/>
        <w:adjustRightInd w:val="0"/>
        <w:spacing w:before="12" w:line="240" w:lineRule="exact"/>
        <w:rPr>
          <w:sz w:val="20"/>
          <w:szCs w:val="20"/>
        </w:rPr>
      </w:pPr>
    </w:p>
    <w:p w14:paraId="0DC50FCB" w14:textId="77777777" w:rsidR="000116F8" w:rsidRDefault="000116F8" w:rsidP="000116F8">
      <w:pPr>
        <w:autoSpaceDE w:val="0"/>
        <w:autoSpaceDN w:val="0"/>
        <w:adjustRightInd w:val="0"/>
        <w:spacing w:before="12" w:line="240" w:lineRule="exact"/>
        <w:rPr>
          <w:sz w:val="20"/>
          <w:szCs w:val="20"/>
        </w:rPr>
      </w:pPr>
    </w:p>
    <w:p w14:paraId="5BFB846F" w14:textId="77777777" w:rsidR="000116F8" w:rsidRDefault="000116F8" w:rsidP="000116F8">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B147E2C" w14:textId="77777777" w:rsidR="000116F8" w:rsidRDefault="000116F8" w:rsidP="000116F8">
      <w:pPr>
        <w:autoSpaceDE w:val="0"/>
        <w:autoSpaceDN w:val="0"/>
        <w:adjustRightInd w:val="0"/>
        <w:spacing w:after="240" w:line="271" w:lineRule="exact"/>
        <w:ind w:left="720" w:right="-14"/>
        <w:jc w:val="both"/>
        <w:rPr>
          <w:sz w:val="20"/>
          <w:szCs w:val="20"/>
        </w:rPr>
      </w:pPr>
      <w:proofErr w:type="gramStart"/>
      <w:r>
        <w:rPr>
          <w:position w:val="-1"/>
          <w:sz w:val="20"/>
          <w:szCs w:val="20"/>
        </w:rPr>
        <w:t xml:space="preserve">1.  </w:t>
      </w:r>
      <w:r>
        <w:rPr>
          <w:sz w:val="20"/>
          <w:szCs w:val="20"/>
        </w:rPr>
        <w:t>“</w:t>
      </w:r>
      <w:proofErr w:type="gramEnd"/>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3C3954BF" w14:textId="77777777" w:rsidR="000116F8" w:rsidRDefault="000116F8" w:rsidP="000116F8">
      <w:pPr>
        <w:autoSpaceDE w:val="0"/>
        <w:autoSpaceDN w:val="0"/>
        <w:adjustRightInd w:val="0"/>
        <w:spacing w:after="240" w:line="271" w:lineRule="exact"/>
        <w:ind w:left="720" w:right="-14"/>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E74F967" w14:textId="77777777" w:rsidR="000116F8" w:rsidRDefault="000116F8" w:rsidP="000116F8">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6890D256" w14:textId="77777777" w:rsidR="000116F8" w:rsidRDefault="000116F8" w:rsidP="000116F8">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w:t>
      </w:r>
      <w:r>
        <w:rPr>
          <w:sz w:val="20"/>
          <w:szCs w:val="20"/>
        </w:rPr>
        <w:lastRenderedPageBreak/>
        <w:t>simultaneously forwarded by overnight courier service to you at the above address; provided further that the failure of the courier service to timely deliver shall not affect the efficacy of the notice.</w:t>
      </w:r>
    </w:p>
    <w:p w14:paraId="16E21911" w14:textId="77777777" w:rsidR="000116F8" w:rsidRDefault="000116F8" w:rsidP="000116F8">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7AE86342" w14:textId="77777777" w:rsidR="000116F8" w:rsidRDefault="000116F8" w:rsidP="000116F8">
      <w:pPr>
        <w:pStyle w:val="BodyText"/>
        <w:spacing w:after="240"/>
        <w:ind w:firstLine="620"/>
        <w:jc w:val="both"/>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4034E31F" w14:textId="77777777" w:rsidR="000116F8" w:rsidRDefault="000116F8" w:rsidP="000116F8">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47F9F7C0" w14:textId="77777777" w:rsidR="000116F8" w:rsidRDefault="000116F8" w:rsidP="000116F8">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BA25245" w14:textId="77777777" w:rsidR="000116F8" w:rsidRDefault="000116F8" w:rsidP="000116F8">
      <w:pPr>
        <w:pStyle w:val="BodyText"/>
        <w:spacing w:after="240"/>
        <w:ind w:firstLine="620"/>
        <w:jc w:val="both"/>
        <w:rPr>
          <w:sz w:val="20"/>
          <w:szCs w:val="20"/>
        </w:rPr>
      </w:pPr>
      <w:r>
        <w:rPr>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Pr>
          <w:sz w:val="20"/>
          <w:szCs w:val="20"/>
        </w:rPr>
        <w:t>be located in</w:t>
      </w:r>
      <w:proofErr w:type="gramEnd"/>
      <w:r>
        <w:rPr>
          <w:sz w:val="20"/>
          <w:szCs w:val="20"/>
        </w:rPr>
        <w:t xml:space="preserve"> the United States.</w:t>
      </w:r>
    </w:p>
    <w:p w14:paraId="7D3B12E1" w14:textId="77777777" w:rsidR="000116F8" w:rsidRDefault="000116F8" w:rsidP="000116F8">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E503E91" w14:textId="77777777" w:rsidR="000116F8" w:rsidRDefault="000116F8" w:rsidP="000116F8">
      <w:pPr>
        <w:pStyle w:val="BodyText"/>
        <w:spacing w:after="240"/>
        <w:ind w:firstLine="620"/>
        <w:jc w:val="both"/>
        <w:rPr>
          <w:sz w:val="20"/>
          <w:szCs w:val="20"/>
        </w:rPr>
      </w:pPr>
      <w:proofErr w:type="gramStart"/>
      <w:r>
        <w:rPr>
          <w:sz w:val="20"/>
          <w:szCs w:val="20"/>
        </w:rPr>
        <w:t>As  used</w:t>
      </w:r>
      <w:proofErr w:type="gramEnd"/>
      <w:r>
        <w:rPr>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477D3231" w14:textId="77777777" w:rsidR="000116F8" w:rsidRDefault="000116F8" w:rsidP="000116F8">
      <w:pPr>
        <w:pStyle w:val="BodyText"/>
        <w:spacing w:after="240"/>
        <w:ind w:firstLine="620"/>
        <w:jc w:val="both"/>
        <w:rPr>
          <w:sz w:val="20"/>
          <w:szCs w:val="20"/>
        </w:rPr>
      </w:pPr>
      <w:r>
        <w:rPr>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w:t>
      </w:r>
      <w:proofErr w:type="gramStart"/>
      <w:r>
        <w:rPr>
          <w:sz w:val="20"/>
          <w:szCs w:val="20"/>
        </w:rPr>
        <w:t>changed</w:t>
      </w:r>
      <w:proofErr w:type="gramEnd"/>
      <w:r>
        <w:rPr>
          <w:sz w:val="20"/>
          <w:szCs w:val="20"/>
        </w:rPr>
        <w:t xml:space="preserve"> or modified without the express written consent of the Beneficiary, the Issuing Bank and the Account Party.</w:t>
      </w:r>
    </w:p>
    <w:p w14:paraId="28FB62C2" w14:textId="77777777" w:rsidR="000116F8" w:rsidRDefault="000116F8" w:rsidP="000116F8">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4F0887F7" w14:textId="77777777" w:rsidR="000116F8" w:rsidRDefault="000116F8" w:rsidP="000116F8">
      <w:pPr>
        <w:pStyle w:val="BodyText"/>
        <w:spacing w:after="240"/>
        <w:ind w:firstLine="620"/>
        <w:jc w:val="both"/>
        <w:rPr>
          <w:sz w:val="20"/>
          <w:szCs w:val="20"/>
        </w:rPr>
      </w:pPr>
      <w:r>
        <w:rPr>
          <w:sz w:val="20"/>
          <w:szCs w:val="20"/>
        </w:rPr>
        <w:lastRenderedPageBreak/>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554E041" w14:textId="77777777" w:rsidR="000116F8" w:rsidRDefault="000116F8" w:rsidP="000116F8">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742BE910" w14:textId="77777777" w:rsidR="000116F8" w:rsidRDefault="000116F8" w:rsidP="000116F8">
      <w:pPr>
        <w:pStyle w:val="BodyText"/>
        <w:jc w:val="both"/>
        <w:rPr>
          <w:sz w:val="20"/>
          <w:szCs w:val="20"/>
        </w:rPr>
      </w:pPr>
    </w:p>
    <w:p w14:paraId="539907A4" w14:textId="77777777" w:rsidR="000116F8" w:rsidRDefault="000116F8" w:rsidP="000116F8">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5269D897" w14:textId="29384C67" w:rsidR="00901413" w:rsidRPr="000116F8" w:rsidRDefault="00901413" w:rsidP="000116F8">
      <w:pPr>
        <w:rPr>
          <w:b/>
          <w:sz w:val="20"/>
          <w:szCs w:val="20"/>
        </w:rPr>
      </w:pPr>
    </w:p>
    <w:sectPr w:rsidR="00901413" w:rsidRPr="000116F8">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BF796" w14:textId="77777777" w:rsidR="000116F8" w:rsidRDefault="000116F8">
      <w:r>
        <w:separator/>
      </w:r>
    </w:p>
  </w:endnote>
  <w:endnote w:type="continuationSeparator" w:id="0">
    <w:p w14:paraId="63D259EC" w14:textId="77777777" w:rsidR="000116F8" w:rsidRDefault="0001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411799"/>
      <w:docPartObj>
        <w:docPartGallery w:val="Page Numbers (Bottom of Page)"/>
        <w:docPartUnique/>
      </w:docPartObj>
    </w:sdtPr>
    <w:sdtEndPr>
      <w:rPr>
        <w:noProof/>
      </w:rPr>
    </w:sdtEndPr>
    <w:sdtContent>
      <w:p w14:paraId="4BD07C52" w14:textId="77777777" w:rsidR="000116F8" w:rsidRDefault="000116F8" w:rsidP="000116F8">
        <w:pPr>
          <w:pStyle w:val="Footer"/>
          <w:jc w:val="center"/>
        </w:pPr>
        <w:r>
          <w:fldChar w:fldCharType="begin"/>
        </w:r>
        <w:r>
          <w:instrText xml:space="preserve"> PAGE   \* MERGEFORMAT </w:instrText>
        </w:r>
        <w:r>
          <w:fldChar w:fldCharType="separate"/>
        </w:r>
        <w:r>
          <w:t>1</w:t>
        </w:r>
        <w:r>
          <w:rPr>
            <w:noProof/>
          </w:rPr>
          <w:fldChar w:fldCharType="end"/>
        </w:r>
      </w:p>
    </w:sdtContent>
  </w:sdt>
  <w:p w14:paraId="014A3857" w14:textId="77777777" w:rsidR="00901413" w:rsidRDefault="0090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6F1CC" w14:textId="77777777" w:rsidR="000116F8" w:rsidRDefault="000116F8">
      <w:r>
        <w:separator/>
      </w:r>
    </w:p>
  </w:footnote>
  <w:footnote w:type="continuationSeparator" w:id="0">
    <w:p w14:paraId="04978DF3" w14:textId="77777777" w:rsidR="000116F8" w:rsidRDefault="0001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B3181" w14:textId="012D59FE" w:rsidR="000116F8" w:rsidRPr="00FA2095" w:rsidRDefault="000116F8" w:rsidP="000116F8">
    <w:pPr>
      <w:pStyle w:val="Header"/>
      <w:rPr>
        <w:rFonts w:asciiTheme="minorHAnsi" w:hAnsiTheme="minorHAnsi" w:cstheme="minorHAnsi"/>
        <w:sz w:val="24"/>
        <w:szCs w:val="24"/>
      </w:rPr>
    </w:pPr>
    <w:r w:rsidRPr="00FA2095">
      <w:rPr>
        <w:rFonts w:asciiTheme="minorHAnsi" w:hAnsiTheme="minorHAnsi" w:cstheme="minorHAnsi"/>
        <w:sz w:val="24"/>
        <w:szCs w:val="24"/>
      </w:rPr>
      <w:t>Posted: March 1</w:t>
    </w:r>
    <w:r>
      <w:rPr>
        <w:rFonts w:asciiTheme="minorHAnsi" w:hAnsiTheme="minorHAnsi" w:cstheme="minorHAnsi"/>
        <w:sz w:val="24"/>
        <w:szCs w:val="24"/>
      </w:rPr>
      <w:t>8</w:t>
    </w:r>
    <w:r w:rsidRPr="00FA2095">
      <w:rPr>
        <w:rFonts w:asciiTheme="minorHAnsi" w:hAnsiTheme="minorHAnsi" w:cstheme="minorHAnsi"/>
        <w:sz w:val="24"/>
        <w:szCs w:val="24"/>
      </w:rPr>
      <w:t>, 2022</w:t>
    </w:r>
  </w:p>
  <w:p w14:paraId="391A97C8" w14:textId="77777777" w:rsidR="00901413" w:rsidRDefault="0090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0116F8"/>
    <w:rsid w:val="000116F8"/>
    <w:rsid w:val="00327913"/>
    <w:rsid w:val="004C5FAF"/>
    <w:rsid w:val="00901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31F3"/>
  <w15:chartTrackingRefBased/>
  <w15:docId w15:val="{B3497A43-2134-424C-AFF8-B58A6D0A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16F8"/>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Deon Yuan</cp:lastModifiedBy>
  <cp:revision>2</cp:revision>
  <dcterms:created xsi:type="dcterms:W3CDTF">2022-03-18T19:51:00Z</dcterms:created>
  <dcterms:modified xsi:type="dcterms:W3CDTF">2022-03-18T20:37:00Z</dcterms:modified>
</cp:coreProperties>
</file>