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73856" w14:textId="77777777" w:rsidR="00D92D86" w:rsidRDefault="00D92D86" w:rsidP="00D92D86">
      <w:pPr>
        <w:jc w:val="center"/>
        <w:rPr>
          <w:b/>
        </w:rPr>
      </w:pPr>
      <w:bookmarkStart w:id="0" w:name="_GoBack"/>
      <w:bookmarkEnd w:id="0"/>
      <w:r w:rsidRPr="007F63C6">
        <w:rPr>
          <w:b/>
          <w:spacing w:val="-1"/>
        </w:rPr>
        <w:t>EXHIBIT</w:t>
      </w:r>
      <w:r w:rsidRPr="007F63C6">
        <w:rPr>
          <w:b/>
        </w:rPr>
        <w:t xml:space="preserve"> </w:t>
      </w:r>
      <w:r>
        <w:rPr>
          <w:b/>
        </w:rPr>
        <w:t>A</w:t>
      </w:r>
      <w:r w:rsidRPr="007F63C6">
        <w:rPr>
          <w:b/>
        </w:rPr>
        <w:t xml:space="preserve"> (</w:t>
      </w:r>
      <w:r>
        <w:rPr>
          <w:b/>
        </w:rPr>
        <w:t xml:space="preserve">Commonwealth Edison </w:t>
      </w:r>
      <w:r w:rsidRPr="007F63C6">
        <w:rPr>
          <w:b/>
        </w:rPr>
        <w:t>Company)</w:t>
      </w:r>
    </w:p>
    <w:p w14:paraId="0259239F" w14:textId="77777777" w:rsidR="00D92D86" w:rsidRDefault="00D92D86" w:rsidP="00D92D86">
      <w:pPr>
        <w:jc w:val="center"/>
        <w:rPr>
          <w:b/>
        </w:rPr>
      </w:pPr>
      <w:r>
        <w:rPr>
          <w:b/>
        </w:rPr>
        <w:t>Schedule 1 – Foreign Guarantor Requirement</w:t>
      </w:r>
    </w:p>
    <w:p w14:paraId="30B83F36" w14:textId="77777777" w:rsidR="00D92D86" w:rsidRDefault="00D92D86" w:rsidP="00D92D86">
      <w:pPr>
        <w:jc w:val="center"/>
        <w:rPr>
          <w:b/>
        </w:rPr>
      </w:pPr>
    </w:p>
    <w:p w14:paraId="275DDA28" w14:textId="77777777" w:rsidR="00D92D86" w:rsidRPr="003A1893" w:rsidRDefault="00D92D86" w:rsidP="00D92D86">
      <w:pPr>
        <w:pStyle w:val="BodyIndent5"/>
        <w:ind w:left="0"/>
        <w:rPr>
          <w:sz w:val="20"/>
          <w:szCs w:val="22"/>
        </w:rPr>
      </w:pPr>
      <w:r w:rsidRPr="003A1893">
        <w:rPr>
          <w:sz w:val="20"/>
          <w:szCs w:val="22"/>
        </w:rPr>
        <w:t xml:space="preserve">An entity that is proposing to serve as a Guarantor under a Guaranty, but that has not been formed or organized under the laws of a state of the United States or the District of Columbia, must meet the following additional requirements </w:t>
      </w:r>
      <w:proofErr w:type="gramStart"/>
      <w:r w:rsidRPr="003A1893">
        <w:rPr>
          <w:sz w:val="20"/>
          <w:szCs w:val="22"/>
        </w:rPr>
        <w:t>in order to</w:t>
      </w:r>
      <w:proofErr w:type="gramEnd"/>
      <w:r w:rsidRPr="003A1893">
        <w:rPr>
          <w:sz w:val="20"/>
          <w:szCs w:val="22"/>
        </w:rPr>
        <w:t xml:space="preserve"> be recognized as an acceptable Guarantor:</w:t>
      </w:r>
    </w:p>
    <w:p w14:paraId="5686EB59" w14:textId="77777777" w:rsidR="00D92D86" w:rsidRPr="003A1893" w:rsidRDefault="00D92D86" w:rsidP="00D92D86">
      <w:pPr>
        <w:pStyle w:val="BodyIndent5"/>
        <w:numPr>
          <w:ilvl w:val="0"/>
          <w:numId w:val="27"/>
        </w:numPr>
        <w:rPr>
          <w:sz w:val="20"/>
          <w:szCs w:val="22"/>
        </w:rPr>
      </w:pPr>
      <w:r w:rsidRPr="003A1893">
        <w:rPr>
          <w:sz w:val="20"/>
          <w:szCs w:val="22"/>
        </w:rPr>
        <w:t>Such entity must deliver a legal opinion (“</w:t>
      </w:r>
      <w:r w:rsidRPr="003A1893">
        <w:rPr>
          <w:i/>
          <w:sz w:val="20"/>
          <w:szCs w:val="22"/>
        </w:rPr>
        <w:t>Opinion</w:t>
      </w:r>
      <w:r w:rsidRPr="003A1893">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10FFA5BA" w14:textId="77777777" w:rsidR="00D92D86" w:rsidRPr="003A1893" w:rsidRDefault="00D92D86" w:rsidP="00D92D86">
      <w:pPr>
        <w:pStyle w:val="BodyIndent5"/>
        <w:numPr>
          <w:ilvl w:val="0"/>
          <w:numId w:val="27"/>
        </w:numPr>
        <w:rPr>
          <w:sz w:val="20"/>
          <w:szCs w:val="22"/>
        </w:rPr>
      </w:pPr>
      <w:r w:rsidRPr="003A1893">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3A8595BB" w14:textId="77777777" w:rsidR="00D92D86" w:rsidRPr="003A1893" w:rsidRDefault="00D92D86" w:rsidP="00D92D86">
      <w:pPr>
        <w:pStyle w:val="BodyIndent5"/>
        <w:numPr>
          <w:ilvl w:val="0"/>
          <w:numId w:val="27"/>
        </w:numPr>
        <w:rPr>
          <w:sz w:val="20"/>
          <w:szCs w:val="22"/>
        </w:rPr>
      </w:pPr>
      <w:r w:rsidRPr="003A1893">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31CDF383" w14:textId="77777777" w:rsidR="00D92D86" w:rsidRPr="003A1893" w:rsidRDefault="00D92D86" w:rsidP="00D92D86">
      <w:pPr>
        <w:pStyle w:val="BodyIndent5"/>
        <w:numPr>
          <w:ilvl w:val="0"/>
          <w:numId w:val="27"/>
        </w:numPr>
        <w:rPr>
          <w:sz w:val="20"/>
          <w:szCs w:val="22"/>
        </w:rPr>
      </w:pPr>
      <w:r w:rsidRPr="003A1893">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4503B47E" w14:textId="77777777" w:rsidR="00D92D86" w:rsidRPr="003A1893" w:rsidRDefault="00D92D86" w:rsidP="00D92D86">
      <w:pPr>
        <w:pStyle w:val="BodyIndent5"/>
        <w:numPr>
          <w:ilvl w:val="0"/>
          <w:numId w:val="27"/>
        </w:numPr>
        <w:rPr>
          <w:sz w:val="20"/>
          <w:szCs w:val="22"/>
        </w:rPr>
      </w:pPr>
      <w:r w:rsidRPr="003A1893">
        <w:rPr>
          <w:sz w:val="20"/>
          <w:szCs w:val="22"/>
        </w:rPr>
        <w:t xml:space="preserve">The country in which such entity is domiciled must have a long-term sovereign (or equivalent) rating of AA+/Aa1 from at least two of the following rating agencies: S&amp;P, </w:t>
      </w:r>
      <w:proofErr w:type="gramStart"/>
      <w:r w:rsidRPr="003A1893">
        <w:rPr>
          <w:sz w:val="20"/>
          <w:szCs w:val="22"/>
        </w:rPr>
        <w:t>Moody’s</w:t>
      </w:r>
      <w:proofErr w:type="gramEnd"/>
      <w:r w:rsidRPr="003A1893">
        <w:rPr>
          <w:sz w:val="20"/>
          <w:szCs w:val="22"/>
        </w:rPr>
        <w:t xml:space="preserve"> or Fitch.  Each rating agency’s sovereign rating for the domicile country will be considered to be the lowest </w:t>
      </w:r>
      <w:proofErr w:type="gramStart"/>
      <w:r w:rsidRPr="003A1893">
        <w:rPr>
          <w:sz w:val="20"/>
          <w:szCs w:val="22"/>
        </w:rPr>
        <w:t>of:</w:t>
      </w:r>
      <w:proofErr w:type="gramEnd"/>
      <w:r w:rsidRPr="003A1893">
        <w:rPr>
          <w:sz w:val="20"/>
          <w:szCs w:val="22"/>
        </w:rPr>
        <w:t xml:space="preserve">  country ceiling, senior unsecured government debt, long-term foreign currency sovereign rating, long-term local currency sovereign rating, or other equivalent measure.</w:t>
      </w:r>
    </w:p>
    <w:p w14:paraId="3A301FB0" w14:textId="77777777" w:rsidR="00D92D86" w:rsidRPr="003A1893" w:rsidRDefault="00D92D86" w:rsidP="00D92D86">
      <w:pPr>
        <w:pStyle w:val="BodyIndent5"/>
        <w:numPr>
          <w:ilvl w:val="0"/>
          <w:numId w:val="27"/>
        </w:numPr>
        <w:rPr>
          <w:sz w:val="20"/>
          <w:szCs w:val="22"/>
        </w:rPr>
      </w:pPr>
      <w:r w:rsidRPr="003A1893">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633C7B93" w14:textId="77777777" w:rsidR="00D92D86" w:rsidRPr="003A1893" w:rsidRDefault="00D92D86" w:rsidP="00D92D86">
      <w:pPr>
        <w:pStyle w:val="BodyIndent5"/>
        <w:ind w:left="0"/>
        <w:rPr>
          <w:sz w:val="20"/>
          <w:szCs w:val="22"/>
        </w:rPr>
      </w:pPr>
      <w:r w:rsidRPr="003A1893">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225DB209" w14:textId="77777777" w:rsidR="00D92D86" w:rsidRPr="003A1893" w:rsidRDefault="00D92D86" w:rsidP="00D92D86">
      <w:pPr>
        <w:pStyle w:val="BodyFirstLine5"/>
        <w:ind w:firstLine="0"/>
        <w:rPr>
          <w:sz w:val="20"/>
          <w:szCs w:val="22"/>
        </w:rPr>
      </w:pPr>
      <w:r w:rsidRPr="003A1893">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7F83D1DE" w14:textId="77777777" w:rsidR="00D92D86" w:rsidRPr="003A1893" w:rsidRDefault="00D92D86" w:rsidP="00D92D86">
      <w:pPr>
        <w:pStyle w:val="BodyIndent5"/>
        <w:numPr>
          <w:ilvl w:val="0"/>
          <w:numId w:val="28"/>
        </w:numPr>
        <w:rPr>
          <w:sz w:val="20"/>
          <w:szCs w:val="22"/>
        </w:rPr>
      </w:pPr>
      <w:r w:rsidRPr="003A1893">
        <w:rPr>
          <w:sz w:val="20"/>
          <w:szCs w:val="22"/>
        </w:rPr>
        <w:t xml:space="preserve">The Opinion must be in English.  </w:t>
      </w:r>
    </w:p>
    <w:p w14:paraId="7F17203D" w14:textId="77777777" w:rsidR="00D92D86" w:rsidRPr="003A1893" w:rsidRDefault="00D92D86" w:rsidP="00D92D86">
      <w:pPr>
        <w:pStyle w:val="BodyIndent5"/>
        <w:numPr>
          <w:ilvl w:val="0"/>
          <w:numId w:val="28"/>
        </w:numPr>
        <w:rPr>
          <w:sz w:val="20"/>
          <w:szCs w:val="22"/>
        </w:rPr>
      </w:pPr>
      <w:r w:rsidRPr="003A1893">
        <w:rPr>
          <w:sz w:val="20"/>
          <w:szCs w:val="22"/>
        </w:rPr>
        <w:t>The Opinion should contain a recitation of the documents that have been reviewed by such counsel as a basis for the opinions expressed.  Such recitations should include statements that (</w:t>
      </w:r>
      <w:proofErr w:type="spellStart"/>
      <w:r w:rsidRPr="003A1893">
        <w:rPr>
          <w:sz w:val="20"/>
          <w:szCs w:val="22"/>
        </w:rPr>
        <w:t>i</w:t>
      </w:r>
      <w:proofErr w:type="spellEnd"/>
      <w:r w:rsidRPr="003A1893">
        <w:rPr>
          <w:sz w:val="20"/>
          <w:szCs w:val="22"/>
        </w:rPr>
        <w:t xml:space="preserve">) counsel has reviewed the organizational documents for the entity in question and has reviewed the legal requirements and agreement(s) in question (i.e., the </w:t>
      </w:r>
      <w:r>
        <w:rPr>
          <w:sz w:val="20"/>
          <w:szCs w:val="22"/>
        </w:rPr>
        <w:t xml:space="preserve">CMC Contract, </w:t>
      </w:r>
      <w:r w:rsidRPr="003A1893">
        <w:rPr>
          <w:sz w:val="20"/>
          <w:szCs w:val="22"/>
        </w:rPr>
        <w:t xml:space="preserve">the Guaranty, the Rules and associated Appendices, Exhibits and Schedules), (ii) counsel has considered any necessary </w:t>
      </w:r>
      <w:r w:rsidRPr="003A1893">
        <w:rPr>
          <w:sz w:val="20"/>
          <w:szCs w:val="22"/>
        </w:rPr>
        <w:lastRenderedPageBreak/>
        <w:t>corporate, regulatory or governmental authorizations or approvals that may be required as a condition to the entity entering into and performing the Guaranty and (iii) counsel has reviewed evidence provided by the entity, which evidence has been satisfactorily identified or certified to counsel, of such corporate, regulatory and governmental authorizations or approvals.</w:t>
      </w:r>
    </w:p>
    <w:p w14:paraId="353CC842" w14:textId="77777777" w:rsidR="00D92D86" w:rsidRPr="003A1893" w:rsidRDefault="00D92D86" w:rsidP="00D92D86">
      <w:pPr>
        <w:pStyle w:val="BodyIndent5"/>
        <w:numPr>
          <w:ilvl w:val="0"/>
          <w:numId w:val="28"/>
        </w:numPr>
        <w:rPr>
          <w:sz w:val="20"/>
          <w:szCs w:val="22"/>
        </w:rPr>
      </w:pPr>
      <w:r w:rsidRPr="003A1893">
        <w:rPr>
          <w:sz w:val="20"/>
          <w:szCs w:val="22"/>
        </w:rPr>
        <w:t>Based upon the review described in the preceding paragraph (b), the Opinion should reach the legal conclusions that:  (</w:t>
      </w:r>
      <w:proofErr w:type="spellStart"/>
      <w:r w:rsidRPr="003A1893">
        <w:rPr>
          <w:sz w:val="20"/>
          <w:szCs w:val="22"/>
        </w:rPr>
        <w:t>i</w:t>
      </w:r>
      <w:proofErr w:type="spellEnd"/>
      <w:r w:rsidRPr="003A1893">
        <w:rPr>
          <w:sz w:val="20"/>
          <w:szCs w:val="22"/>
        </w:rPr>
        <w:t>)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77DB6ECE" w14:textId="77777777" w:rsidR="00D92D86" w:rsidRPr="003A1893" w:rsidRDefault="00D92D86" w:rsidP="00D92D86">
      <w:pPr>
        <w:pStyle w:val="BodyText"/>
        <w:spacing w:after="240"/>
        <w:rPr>
          <w:sz w:val="20"/>
        </w:rPr>
      </w:pPr>
      <w:r w:rsidRPr="003A1893">
        <w:rPr>
          <w:sz w:val="20"/>
        </w:rPr>
        <w:t>In rendering its opinions within the Opinion, counsel may state that it is not rendering any opinion with respect to the laws of the state of [Illinois</w:t>
      </w:r>
      <w:proofErr w:type="gramStart"/>
      <w:r w:rsidRPr="003A1893">
        <w:rPr>
          <w:sz w:val="20"/>
        </w:rPr>
        <w:t>][</w:t>
      </w:r>
      <w:proofErr w:type="gramEnd"/>
      <w:r w:rsidRPr="003A1893">
        <w:rPr>
          <w:sz w:val="20"/>
        </w:rPr>
        <w:t>New York], which govern the Guaranty.</w:t>
      </w:r>
    </w:p>
    <w:p w14:paraId="3836C514" w14:textId="77777777" w:rsidR="00D92D86" w:rsidRPr="003A1893" w:rsidRDefault="00D92D86" w:rsidP="00D92D86">
      <w:pPr>
        <w:pStyle w:val="BodyText"/>
        <w:spacing w:after="240"/>
        <w:rPr>
          <w:sz w:val="20"/>
        </w:rPr>
      </w:pPr>
      <w:r w:rsidRPr="003A1893">
        <w:rPr>
          <w:sz w:val="20"/>
        </w:rPr>
        <w:t xml:space="preserve">The following text provides an illustration of how the requirements in paragraphs (a) through (c) (inclusive) above might be presented in an opinion of counsel: </w:t>
      </w:r>
    </w:p>
    <w:p w14:paraId="28336E01" w14:textId="77777777" w:rsidR="00D92D86" w:rsidRPr="003A1893" w:rsidRDefault="00D92D86" w:rsidP="00D92D86">
      <w:pPr>
        <w:pStyle w:val="BodyIndent5"/>
        <w:ind w:firstLine="720"/>
        <w:rPr>
          <w:sz w:val="20"/>
          <w:szCs w:val="22"/>
        </w:rPr>
      </w:pPr>
      <w:r w:rsidRPr="003A1893">
        <w:rPr>
          <w:b/>
          <w:sz w:val="20"/>
          <w:szCs w:val="22"/>
        </w:rPr>
        <w:t xml:space="preserve"> </w:t>
      </w:r>
      <w:r w:rsidRPr="003A1893">
        <w:rPr>
          <w:sz w:val="20"/>
          <w:szCs w:val="22"/>
        </w:rPr>
        <w:t>[Description of transaction background/reason for delivering opinion]</w:t>
      </w:r>
    </w:p>
    <w:p w14:paraId="580FD8C1" w14:textId="77777777" w:rsidR="00D92D86" w:rsidRPr="003A1893" w:rsidRDefault="00D92D86" w:rsidP="00D92D86">
      <w:pPr>
        <w:pStyle w:val="BodyIndent5"/>
        <w:ind w:firstLine="720"/>
        <w:rPr>
          <w:sz w:val="20"/>
          <w:szCs w:val="22"/>
        </w:rPr>
      </w:pPr>
      <w:r w:rsidRPr="003A1893">
        <w:rPr>
          <w:sz w:val="20"/>
          <w:szCs w:val="22"/>
        </w:rPr>
        <w:t>We are familiar with the proceedings taken by [entity] in connection with the Guaranty and the transactions contemplated thereby.  In connection with the opinions hereinafter expressed, we have reviewed originals, or copies of originals certified to our satisfaction, of (</w:t>
      </w:r>
      <w:proofErr w:type="spellStart"/>
      <w:r w:rsidRPr="003A1893">
        <w:rPr>
          <w:sz w:val="20"/>
          <w:szCs w:val="22"/>
        </w:rPr>
        <w:t>i</w:t>
      </w:r>
      <w:proofErr w:type="spellEnd"/>
      <w:r w:rsidRPr="003A1893">
        <w:rPr>
          <w:sz w:val="20"/>
          <w:szCs w:val="22"/>
        </w:rPr>
        <w:t xml:space="preserve">)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w:t>
      </w:r>
      <w:r>
        <w:rPr>
          <w:sz w:val="20"/>
          <w:szCs w:val="22"/>
        </w:rPr>
        <w:t>CMC Contract</w:t>
      </w:r>
      <w:r w:rsidRPr="003A1893">
        <w:rPr>
          <w:sz w:val="20"/>
          <w:szCs w:val="22"/>
        </w:rPr>
        <w:t>, and (v</w:t>
      </w:r>
      <w:r>
        <w:rPr>
          <w:sz w:val="20"/>
          <w:szCs w:val="22"/>
        </w:rPr>
        <w:t>i</w:t>
      </w:r>
      <w:r w:rsidRPr="003A1893">
        <w:rPr>
          <w:sz w:val="20"/>
          <w:szCs w:val="22"/>
        </w:rPr>
        <w:t xml:space="preserve">) [describe any other relevant documents].  We have considered the governmental or regulatory approvals that may be applicable to the execution, </w:t>
      </w:r>
      <w:proofErr w:type="gramStart"/>
      <w:r w:rsidRPr="003A1893">
        <w:rPr>
          <w:sz w:val="20"/>
          <w:szCs w:val="22"/>
        </w:rPr>
        <w:t>delivery</w:t>
      </w:r>
      <w:proofErr w:type="gramEnd"/>
      <w:r w:rsidRPr="003A1893">
        <w:rPr>
          <w:sz w:val="20"/>
          <w:szCs w:val="22"/>
        </w:rPr>
        <w:t xml:space="preserve"> and performance of the Guaranty by [entity].  We have also examined such questions of law and have satisfied ourselves as to such matters of fact as we have considered relevant and necessary as a basis for the opinions hereinafter expressed.  </w:t>
      </w:r>
    </w:p>
    <w:p w14:paraId="72FB4D62" w14:textId="77777777" w:rsidR="00D92D86" w:rsidRPr="003A1893" w:rsidRDefault="00D92D86" w:rsidP="00D92D86">
      <w:pPr>
        <w:pStyle w:val="BodyIndent5"/>
        <w:ind w:firstLine="720"/>
        <w:rPr>
          <w:sz w:val="20"/>
          <w:szCs w:val="22"/>
        </w:rPr>
      </w:pPr>
      <w:r w:rsidRPr="003A1893">
        <w:rPr>
          <w:sz w:val="20"/>
          <w:szCs w:val="22"/>
        </w:rPr>
        <w:t xml:space="preserve">Based upon the foregoing, and subject to the assumptions, limitations and qualifications hereinafter stated, it is our opinion that: </w:t>
      </w:r>
    </w:p>
    <w:p w14:paraId="2DD4B0AC" w14:textId="77777777" w:rsidR="00D92D86" w:rsidRPr="003A1893" w:rsidRDefault="00D92D86" w:rsidP="00D92D86">
      <w:pPr>
        <w:pStyle w:val="BodyIndent5"/>
        <w:ind w:firstLine="720"/>
        <w:rPr>
          <w:sz w:val="20"/>
          <w:szCs w:val="22"/>
        </w:rPr>
      </w:pPr>
      <w:r w:rsidRPr="003A1893">
        <w:rPr>
          <w:sz w:val="20"/>
          <w:szCs w:val="22"/>
        </w:rPr>
        <w:t>1.</w:t>
      </w:r>
      <w:r w:rsidRPr="003A1893">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38A8AED" w14:textId="77777777" w:rsidR="00D92D86" w:rsidRPr="003A1893" w:rsidRDefault="00D92D86" w:rsidP="00D92D86">
      <w:pPr>
        <w:pStyle w:val="BodyIndent5"/>
        <w:ind w:firstLine="720"/>
        <w:rPr>
          <w:sz w:val="20"/>
          <w:szCs w:val="22"/>
        </w:rPr>
      </w:pPr>
      <w:r w:rsidRPr="003A1893">
        <w:rPr>
          <w:sz w:val="20"/>
          <w:szCs w:val="22"/>
        </w:rPr>
        <w:t>2.</w:t>
      </w:r>
      <w:r w:rsidRPr="003A1893">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05009B24" w14:textId="77777777" w:rsidR="00D92D86" w:rsidRPr="003A1893" w:rsidRDefault="00D92D86" w:rsidP="00D92D86">
      <w:pPr>
        <w:pStyle w:val="BodyIndent5"/>
        <w:ind w:firstLine="720"/>
        <w:rPr>
          <w:sz w:val="20"/>
          <w:szCs w:val="22"/>
        </w:rPr>
      </w:pPr>
      <w:r w:rsidRPr="003A1893">
        <w:rPr>
          <w:sz w:val="20"/>
          <w:szCs w:val="22"/>
        </w:rPr>
        <w:t>3.</w:t>
      </w:r>
      <w:r w:rsidRPr="003A1893">
        <w:rPr>
          <w:sz w:val="20"/>
          <w:szCs w:val="22"/>
        </w:rPr>
        <w:tab/>
        <w:t>The choice of the parties to the Guaranty to have the laws of the state of [Illinois</w:t>
      </w:r>
      <w:proofErr w:type="gramStart"/>
      <w:r w:rsidRPr="003A1893">
        <w:rPr>
          <w:sz w:val="20"/>
          <w:szCs w:val="22"/>
        </w:rPr>
        <w:t>][</w:t>
      </w:r>
      <w:proofErr w:type="gramEnd"/>
      <w:r w:rsidRPr="003A1893">
        <w:rPr>
          <w:sz w:val="20"/>
          <w:szCs w:val="22"/>
        </w:rPr>
        <w:t>New York] govern the enforceability of the parties’ obligations under the Guaranty is valid and enforceable against [entity] under the laws of [jurisdiction of organization or formation].</w:t>
      </w:r>
    </w:p>
    <w:p w14:paraId="27831939" w14:textId="7B5AF226" w:rsidR="00691AFF" w:rsidRPr="00D92D86" w:rsidRDefault="00D92D86" w:rsidP="00D92D86">
      <w:pPr>
        <w:pStyle w:val="BodyIndent5"/>
        <w:ind w:firstLine="720"/>
        <w:rPr>
          <w:sz w:val="20"/>
          <w:szCs w:val="22"/>
        </w:rPr>
      </w:pPr>
      <w:r w:rsidRPr="003A1893">
        <w:rPr>
          <w:sz w:val="20"/>
          <w:szCs w:val="22"/>
        </w:rPr>
        <w:t>[Concluding paragraphs and signature]</w:t>
      </w:r>
    </w:p>
    <w:sectPr w:rsidR="00691AFF" w:rsidRPr="00D92D86" w:rsidSect="00D92D8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422DD" w14:textId="77777777" w:rsidR="00D92D86" w:rsidRPr="00D92D86" w:rsidRDefault="00D92D86">
      <w:pPr>
        <w:rPr>
          <w:lang w:val="en-GB"/>
        </w:rPr>
      </w:pPr>
      <w:r w:rsidRPr="00D92D86">
        <w:rPr>
          <w:lang w:val="en-GB"/>
        </w:rPr>
        <w:separator/>
      </w:r>
    </w:p>
  </w:endnote>
  <w:endnote w:type="continuationSeparator" w:id="0">
    <w:p w14:paraId="4C842A33" w14:textId="77777777" w:rsidR="00D92D86" w:rsidRPr="00D92D86" w:rsidRDefault="00D92D86">
      <w:pPr>
        <w:rPr>
          <w:lang w:val="en-GB"/>
        </w:rPr>
      </w:pPr>
      <w:r w:rsidRPr="00D92D86">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65F6C" w14:textId="77777777" w:rsidR="00D92D86" w:rsidRPr="00D92D86" w:rsidRDefault="00D92D86">
    <w:pPr>
      <w:pStyle w:val="Footer"/>
      <w:jc w:val="center"/>
      <w:rPr>
        <w:rFonts w:asciiTheme="minorHAnsi" w:hAnsiTheme="minorHAnsi" w:cstheme="minorHAnsi"/>
        <w:caps/>
        <w:noProof/>
        <w:sz w:val="20"/>
        <w:szCs w:val="20"/>
      </w:rPr>
    </w:pPr>
    <w:r w:rsidRPr="00D92D86">
      <w:rPr>
        <w:rFonts w:asciiTheme="minorHAnsi" w:hAnsiTheme="minorHAnsi" w:cstheme="minorHAnsi"/>
        <w:caps/>
        <w:sz w:val="20"/>
        <w:szCs w:val="20"/>
      </w:rPr>
      <w:fldChar w:fldCharType="begin"/>
    </w:r>
    <w:r w:rsidRPr="00D92D86">
      <w:rPr>
        <w:rFonts w:asciiTheme="minorHAnsi" w:hAnsiTheme="minorHAnsi" w:cstheme="minorHAnsi"/>
        <w:caps/>
        <w:sz w:val="20"/>
        <w:szCs w:val="20"/>
      </w:rPr>
      <w:instrText xml:space="preserve"> PAGE   \* MERGEFORMAT </w:instrText>
    </w:r>
    <w:r w:rsidRPr="00D92D86">
      <w:rPr>
        <w:rFonts w:asciiTheme="minorHAnsi" w:hAnsiTheme="minorHAnsi" w:cstheme="minorHAnsi"/>
        <w:caps/>
        <w:sz w:val="20"/>
        <w:szCs w:val="20"/>
      </w:rPr>
      <w:fldChar w:fldCharType="separate"/>
    </w:r>
    <w:r w:rsidRPr="00D92D86">
      <w:rPr>
        <w:rFonts w:asciiTheme="minorHAnsi" w:hAnsiTheme="minorHAnsi" w:cstheme="minorHAnsi"/>
        <w:caps/>
        <w:noProof/>
        <w:sz w:val="20"/>
        <w:szCs w:val="20"/>
      </w:rPr>
      <w:t>2</w:t>
    </w:r>
    <w:r w:rsidRPr="00D92D86">
      <w:rPr>
        <w:rFonts w:asciiTheme="minorHAnsi" w:hAnsiTheme="minorHAnsi" w:cstheme="minorHAnsi"/>
        <w:caps/>
        <w:noProof/>
        <w:sz w:val="20"/>
        <w:szCs w:val="20"/>
      </w:rPr>
      <w:fldChar w:fldCharType="end"/>
    </w:r>
  </w:p>
  <w:p w14:paraId="26C79971" w14:textId="77777777" w:rsidR="00D92D86" w:rsidRDefault="00D92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68E0E" w14:textId="77777777" w:rsidR="00D92D86" w:rsidRPr="00D92D86" w:rsidRDefault="00D92D86">
      <w:pPr>
        <w:rPr>
          <w:lang w:val="en-GB"/>
        </w:rPr>
      </w:pPr>
      <w:r w:rsidRPr="00D92D86">
        <w:rPr>
          <w:lang w:val="en-GB"/>
        </w:rPr>
        <w:separator/>
      </w:r>
    </w:p>
  </w:footnote>
  <w:footnote w:type="continuationSeparator" w:id="0">
    <w:p w14:paraId="2A4B1C17" w14:textId="77777777" w:rsidR="00D92D86" w:rsidRPr="00D92D86" w:rsidRDefault="00D92D86">
      <w:pPr>
        <w:rPr>
          <w:lang w:val="en-GB"/>
        </w:rPr>
      </w:pPr>
      <w:r w:rsidRPr="00D92D86">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51A1D" w14:textId="77777777" w:rsidR="00D92D86" w:rsidRPr="00D92D86" w:rsidRDefault="00D92D86" w:rsidP="00D92D86">
    <w:pPr>
      <w:pStyle w:val="Header"/>
      <w:rPr>
        <w:rFonts w:asciiTheme="minorHAnsi" w:hAnsiTheme="minorHAnsi" w:cstheme="minorHAnsi"/>
        <w:color w:val="FF0000"/>
        <w:sz w:val="20"/>
      </w:rPr>
    </w:pPr>
    <w:r w:rsidRPr="00D92D86">
      <w:rPr>
        <w:rFonts w:asciiTheme="minorHAnsi" w:hAnsiTheme="minorHAnsi" w:cstheme="minorHAnsi"/>
        <w:color w:val="FF0000"/>
        <w:sz w:val="20"/>
      </w:rPr>
      <w:t>Posted: November 15, 2021</w:t>
    </w:r>
  </w:p>
  <w:p w14:paraId="25269ADC" w14:textId="77777777" w:rsidR="00691AFF" w:rsidRPr="00D92D86" w:rsidRDefault="00691AF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0" w15:restartNumberingAfterBreak="0">
    <w:nsid w:val="2B2568E9"/>
    <w:multiLevelType w:val="multilevel"/>
    <w:tmpl w:val="A866E6F2"/>
    <w:numStyleLink w:val="UppercaseAlphaListMultilevel"/>
  </w:abstractNum>
  <w:abstractNum w:abstractNumId="11"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2"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3"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4"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2E62F5"/>
    <w:multiLevelType w:val="multilevel"/>
    <w:tmpl w:val="6E2282A2"/>
    <w:numStyleLink w:val="HeadingsList"/>
  </w:abstractNum>
  <w:abstractNum w:abstractNumId="16"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7" w15:restartNumberingAfterBreak="0">
    <w:nsid w:val="46555BD5"/>
    <w:multiLevelType w:val="multilevel"/>
    <w:tmpl w:val="05BEC466"/>
    <w:numStyleLink w:val="HeadingsUList"/>
  </w:abstractNum>
  <w:abstractNum w:abstractNumId="18"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9" w15:restartNumberingAfterBreak="0">
    <w:nsid w:val="4A95779E"/>
    <w:multiLevelType w:val="multilevel"/>
    <w:tmpl w:val="B0C0387C"/>
    <w:numStyleLink w:val="TableBulletsMultilevel"/>
  </w:abstractNum>
  <w:abstractNum w:abstractNumId="20"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21"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2"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3" w15:restartNumberingAfterBreak="0">
    <w:nsid w:val="60741689"/>
    <w:multiLevelType w:val="multilevel"/>
    <w:tmpl w:val="3A1C9612"/>
    <w:numStyleLink w:val="BulletsMultilevel"/>
  </w:abstractNum>
  <w:abstractNum w:abstractNumId="2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6" w15:restartNumberingAfterBreak="0">
    <w:nsid w:val="778E5029"/>
    <w:multiLevelType w:val="multilevel"/>
    <w:tmpl w:val="FF9226E4"/>
    <w:numStyleLink w:val="LowercaseAlphaListMultilevel"/>
  </w:abstractNum>
  <w:abstractNum w:abstractNumId="27" w15:restartNumberingAfterBreak="0">
    <w:nsid w:val="79050678"/>
    <w:multiLevelType w:val="multilevel"/>
    <w:tmpl w:val="6076FB1C"/>
    <w:numStyleLink w:val="ListContinueMultilevel"/>
  </w:abstractNum>
  <w:num w:numId="1">
    <w:abstractNumId w:val="16"/>
  </w:num>
  <w:num w:numId="2">
    <w:abstractNumId w:val="2"/>
  </w:num>
  <w:num w:numId="3">
    <w:abstractNumId w:val="24"/>
  </w:num>
  <w:num w:numId="4">
    <w:abstractNumId w:val="7"/>
  </w:num>
  <w:num w:numId="5">
    <w:abstractNumId w:val="1"/>
  </w:num>
  <w:num w:numId="6">
    <w:abstractNumId w:val="18"/>
  </w:num>
  <w:num w:numId="7">
    <w:abstractNumId w:val="5"/>
  </w:num>
  <w:num w:numId="8">
    <w:abstractNumId w:val="13"/>
  </w:num>
  <w:num w:numId="9">
    <w:abstractNumId w:val="26"/>
  </w:num>
  <w:num w:numId="10">
    <w:abstractNumId w:val="25"/>
  </w:num>
  <w:num w:numId="11">
    <w:abstractNumId w:val="10"/>
  </w:num>
  <w:num w:numId="12">
    <w:abstractNumId w:val="3"/>
  </w:num>
  <w:num w:numId="13">
    <w:abstractNumId w:val="0"/>
  </w:num>
  <w:num w:numId="14">
    <w:abstractNumId w:val="4"/>
  </w:num>
  <w:num w:numId="15">
    <w:abstractNumId w:val="12"/>
  </w:num>
  <w:num w:numId="16">
    <w:abstractNumId w:val="9"/>
  </w:num>
  <w:num w:numId="17">
    <w:abstractNumId w:val="6"/>
  </w:num>
  <w:num w:numId="18">
    <w:abstractNumId w:val="22"/>
  </w:num>
  <w:num w:numId="19">
    <w:abstractNumId w:val="21"/>
  </w:num>
  <w:num w:numId="20">
    <w:abstractNumId w:val="17"/>
  </w:num>
  <w:num w:numId="21">
    <w:abstractNumId w:val="27"/>
  </w:num>
  <w:num w:numId="22">
    <w:abstractNumId w:val="23"/>
  </w:num>
  <w:num w:numId="23">
    <w:abstractNumId w:val="19"/>
  </w:num>
  <w:num w:numId="24">
    <w:abstractNumId w:val="15"/>
  </w:num>
  <w:num w:numId="25">
    <w:abstractNumId w:val="11"/>
  </w:num>
  <w:num w:numId="26">
    <w:abstractNumId w:val="20"/>
  </w:num>
  <w:num w:numId="27">
    <w:abstractNumId w:val="14"/>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D92D86"/>
    <w:rsid w:val="00691AFF"/>
    <w:rsid w:val="009011A3"/>
    <w:rsid w:val="00D92D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B454"/>
  <w15:chartTrackingRefBased/>
  <w15:docId w15:val="{9F7E32E7-38FE-4E76-AD53-6A7AE22A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2D86"/>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99"/>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99"/>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BodyIndent5">
    <w:name w:val="Body Indent .5&quot;"/>
    <w:basedOn w:val="Normal"/>
    <w:rsid w:val="00D92D86"/>
    <w:pPr>
      <w:widowControl/>
      <w:spacing w:after="240"/>
      <w:ind w:left="720"/>
    </w:pPr>
    <w:rPr>
      <w:rFonts w:eastAsia="Times New Roman" w:cs="Times New Roman"/>
      <w:sz w:val="24"/>
      <w:szCs w:val="24"/>
    </w:rPr>
  </w:style>
  <w:style w:type="paragraph" w:customStyle="1" w:styleId="BodyFirstLine5">
    <w:name w:val="Body First Line .5&quot;"/>
    <w:basedOn w:val="Normal"/>
    <w:rsid w:val="00D92D86"/>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1268</Words>
  <Characters>6724</Characters>
  <Application>Microsoft Office Word</Application>
  <DocSecurity>0</DocSecurity>
  <Lines>137</Lines>
  <Paragraphs>42</Paragraphs>
  <ScaleCrop>false</ScaleCrop>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 Yuan</dc:creator>
  <cp:keywords>TemplateVersion: NERA-LOCKABLES.Normal.20180330.2</cp:keywords>
  <dc:description/>
  <cp:lastModifiedBy>Deon Yuan</cp:lastModifiedBy>
  <cp:revision>1</cp:revision>
  <dcterms:created xsi:type="dcterms:W3CDTF">2021-11-15T23:01:00Z</dcterms:created>
  <dcterms:modified xsi:type="dcterms:W3CDTF">2021-11-15T23:02:00Z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