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97C" w:rsidRPr="00C40542" w:rsidRDefault="003C797C" w:rsidP="003C797C">
      <w:pPr>
        <w:widowControl w:val="0"/>
        <w:autoSpaceDE w:val="0"/>
        <w:autoSpaceDN w:val="0"/>
        <w:adjustRightInd w:val="0"/>
        <w:spacing w:before="29" w:line="271" w:lineRule="exact"/>
        <w:ind w:left="3838" w:right="3820"/>
        <w:jc w:val="center"/>
        <w:rPr>
          <w:sz w:val="20"/>
          <w:szCs w:val="20"/>
          <w:u w:val="single"/>
        </w:rPr>
      </w:pPr>
      <w:r w:rsidRPr="00C40542">
        <w:rPr>
          <w:b/>
          <w:bCs/>
          <w:position w:val="-1"/>
          <w:sz w:val="20"/>
          <w:szCs w:val="20"/>
          <w:u w:val="single"/>
        </w:rPr>
        <w:t>O</w:t>
      </w:r>
      <w:r w:rsidRPr="00C40542">
        <w:rPr>
          <w:b/>
          <w:bCs/>
          <w:spacing w:val="-3"/>
          <w:position w:val="-1"/>
          <w:sz w:val="20"/>
          <w:szCs w:val="20"/>
          <w:u w:val="single"/>
        </w:rPr>
        <w:t>P</w:t>
      </w:r>
      <w:r w:rsidRPr="00C40542">
        <w:rPr>
          <w:b/>
          <w:bCs/>
          <w:spacing w:val="1"/>
          <w:position w:val="-1"/>
          <w:sz w:val="20"/>
          <w:szCs w:val="20"/>
          <w:u w:val="single"/>
        </w:rPr>
        <w:t>T</w:t>
      </w:r>
      <w:r w:rsidRPr="00C40542">
        <w:rPr>
          <w:b/>
          <w:bCs/>
          <w:position w:val="-1"/>
          <w:sz w:val="20"/>
          <w:szCs w:val="20"/>
          <w:u w:val="single"/>
        </w:rPr>
        <w:t>ION</w:t>
      </w:r>
      <w:r w:rsidRPr="00C40542">
        <w:rPr>
          <w:b/>
          <w:bCs/>
          <w:spacing w:val="-1"/>
          <w:position w:val="-1"/>
          <w:sz w:val="20"/>
          <w:szCs w:val="20"/>
          <w:u w:val="single"/>
        </w:rPr>
        <w:t xml:space="preserve"> </w:t>
      </w:r>
      <w:r w:rsidRPr="00C40542">
        <w:rPr>
          <w:b/>
          <w:bCs/>
          <w:position w:val="-1"/>
          <w:sz w:val="20"/>
          <w:szCs w:val="20"/>
          <w:u w:val="single"/>
        </w:rPr>
        <w:t>2</w:t>
      </w:r>
    </w:p>
    <w:p w:rsidR="003C797C" w:rsidRPr="00C40542" w:rsidRDefault="003C797C" w:rsidP="003C797C">
      <w:pPr>
        <w:widowControl w:val="0"/>
        <w:autoSpaceDE w:val="0"/>
        <w:autoSpaceDN w:val="0"/>
        <w:adjustRightInd w:val="0"/>
        <w:spacing w:before="7" w:line="240" w:lineRule="exact"/>
        <w:rPr>
          <w:sz w:val="20"/>
          <w:szCs w:val="20"/>
        </w:rPr>
      </w:pPr>
    </w:p>
    <w:p w:rsidR="003C797C" w:rsidRPr="00C40542" w:rsidRDefault="003C797C" w:rsidP="003C797C">
      <w:pPr>
        <w:widowControl w:val="0"/>
        <w:autoSpaceDE w:val="0"/>
        <w:autoSpaceDN w:val="0"/>
        <w:adjustRightInd w:val="0"/>
        <w:spacing w:line="200" w:lineRule="exact"/>
        <w:rPr>
          <w:sz w:val="20"/>
          <w:szCs w:val="20"/>
        </w:rPr>
      </w:pPr>
    </w:p>
    <w:p w:rsidR="00846988" w:rsidRPr="00D24564" w:rsidRDefault="00846988" w:rsidP="00846988">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rsidR="00846988" w:rsidRPr="00D24564" w:rsidRDefault="00846988" w:rsidP="00846988">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rsidR="00846988" w:rsidRPr="00D24564" w:rsidRDefault="00846988" w:rsidP="00846988">
      <w:pPr>
        <w:widowControl w:val="0"/>
        <w:tabs>
          <w:tab w:val="left" w:pos="5240"/>
        </w:tabs>
        <w:autoSpaceDE w:val="0"/>
        <w:autoSpaceDN w:val="0"/>
        <w:adjustRightInd w:val="0"/>
        <w:spacing w:before="29"/>
        <w:ind w:left="931" w:right="1292" w:hanging="931"/>
        <w:rPr>
          <w:sz w:val="20"/>
          <w:szCs w:val="20"/>
        </w:rPr>
      </w:pPr>
    </w:p>
    <w:p w:rsidR="00846988" w:rsidRPr="00D24564" w:rsidRDefault="00846988" w:rsidP="00846988">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846988" w:rsidRPr="00D24564" w:rsidRDefault="00846988" w:rsidP="00846988">
      <w:pPr>
        <w:widowControl w:val="0"/>
        <w:tabs>
          <w:tab w:val="left" w:pos="5240"/>
        </w:tabs>
        <w:autoSpaceDE w:val="0"/>
        <w:autoSpaceDN w:val="0"/>
        <w:adjustRightInd w:val="0"/>
        <w:spacing w:before="29"/>
        <w:ind w:left="931" w:right="1292" w:hanging="931"/>
        <w:rPr>
          <w:sz w:val="20"/>
          <w:szCs w:val="20"/>
        </w:rPr>
      </w:pPr>
    </w:p>
    <w:p w:rsidR="00846988" w:rsidRPr="00D24564" w:rsidRDefault="00846988" w:rsidP="00846988">
      <w:pPr>
        <w:widowControl w:val="0"/>
        <w:tabs>
          <w:tab w:val="left" w:pos="4160"/>
        </w:tabs>
        <w:autoSpaceDE w:val="0"/>
        <w:autoSpaceDN w:val="0"/>
        <w:adjustRightInd w:val="0"/>
        <w:spacing w:before="29" w:line="271" w:lineRule="exact"/>
        <w:ind w:left="84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No. </w:t>
      </w:r>
      <w:r w:rsidRPr="00D24564">
        <w:rPr>
          <w:position w:val="-1"/>
          <w:sz w:val="20"/>
          <w:szCs w:val="20"/>
          <w:u w:val="single"/>
        </w:rPr>
        <w:t xml:space="preserve"> </w:t>
      </w:r>
      <w:r w:rsidRPr="00D24564">
        <w:rPr>
          <w:position w:val="-1"/>
          <w:sz w:val="20"/>
          <w:szCs w:val="20"/>
          <w:u w:val="single"/>
        </w:rPr>
        <w:tab/>
      </w:r>
    </w:p>
    <w:p w:rsidR="00846988" w:rsidRPr="00D24564" w:rsidRDefault="00846988" w:rsidP="00846988">
      <w:pPr>
        <w:widowControl w:val="0"/>
        <w:autoSpaceDE w:val="0"/>
        <w:autoSpaceDN w:val="0"/>
        <w:adjustRightInd w:val="0"/>
        <w:spacing w:before="12" w:line="240" w:lineRule="exact"/>
        <w:rPr>
          <w:sz w:val="20"/>
          <w:szCs w:val="20"/>
        </w:rPr>
      </w:pPr>
    </w:p>
    <w:p w:rsidR="00846988" w:rsidRPr="00D24564" w:rsidRDefault="00846988" w:rsidP="00846988">
      <w:pPr>
        <w:pStyle w:val="BodyText"/>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846988" w:rsidRPr="00D24564" w:rsidRDefault="00846988" w:rsidP="00846988">
      <w:pPr>
        <w:pStyle w:val="BodyText"/>
        <w:ind w:left="720"/>
        <w:jc w:val="both"/>
        <w:rPr>
          <w:sz w:val="20"/>
          <w:szCs w:val="20"/>
        </w:rPr>
      </w:pPr>
      <w:r w:rsidRPr="00D24564">
        <w:rPr>
          <w:sz w:val="20"/>
          <w:szCs w:val="20"/>
        </w:rPr>
        <w:t xml:space="preserve">1.  “An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846988" w:rsidRPr="00D24564" w:rsidRDefault="00846988" w:rsidP="00846988">
      <w:pPr>
        <w:pStyle w:val="BodyText"/>
        <w:ind w:left="720"/>
        <w:jc w:val="both"/>
        <w:rPr>
          <w:sz w:val="20"/>
          <w:szCs w:val="20"/>
        </w:rPr>
      </w:pPr>
      <w:r w:rsidRPr="00D24564">
        <w:rPr>
          <w:sz w:val="20"/>
          <w:szCs w:val="20"/>
        </w:rPr>
        <w:t>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 or</w:t>
      </w:r>
    </w:p>
    <w:p w:rsidR="00846988" w:rsidRPr="00D24564" w:rsidRDefault="00846988" w:rsidP="00846988">
      <w:pPr>
        <w:pStyle w:val="BodyText"/>
        <w:ind w:left="720"/>
        <w:jc w:val="both"/>
        <w:rPr>
          <w:sz w:val="20"/>
          <w:szCs w:val="20"/>
        </w:rPr>
      </w:pPr>
      <w:bookmarkStart w:id="0" w:name="_Hlk500495743"/>
      <w:r w:rsidRPr="00D24564">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bookmarkEnd w:id="0"/>
      <w:r w:rsidRPr="00D24564">
        <w:rPr>
          <w:sz w:val="20"/>
          <w:szCs w:val="20"/>
        </w:rPr>
        <w:t>.</w:t>
      </w:r>
    </w:p>
    <w:p w:rsidR="00846988" w:rsidRPr="00D24564" w:rsidRDefault="00846988" w:rsidP="00846988">
      <w:pPr>
        <w:pStyle w:val="BodyText"/>
        <w:ind w:firstLine="720"/>
        <w:jc w:val="both"/>
        <w:rPr>
          <w:sz w:val="20"/>
          <w:szCs w:val="20"/>
        </w:rPr>
      </w:pPr>
      <w:r w:rsidRPr="00D24564">
        <w:rPr>
          <w:sz w:val="20"/>
          <w:szCs w:val="20"/>
        </w:rPr>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846988" w:rsidRPr="00D24564" w:rsidRDefault="00846988" w:rsidP="00846988">
      <w:pPr>
        <w:pStyle w:val="BodyText"/>
        <w:ind w:firstLine="720"/>
        <w:jc w:val="both"/>
        <w:rPr>
          <w:sz w:val="20"/>
          <w:szCs w:val="20"/>
        </w:rPr>
      </w:pPr>
      <w:r w:rsidRPr="00D24564">
        <w:rPr>
          <w:sz w:val="20"/>
          <w:szCs w:val="20"/>
        </w:rPr>
        <w:t>The amount which may be drawn by you under this Letter of Credit shall be automatically reduced by the amount of any drawings paid by the Issuing Bank. Partial drawings and multiple presentations are permitted hereunder.</w:t>
      </w:r>
    </w:p>
    <w:p w:rsidR="00846988" w:rsidRPr="00D24564" w:rsidRDefault="00846988" w:rsidP="00846988">
      <w:pPr>
        <w:pStyle w:val="BodyText"/>
        <w:ind w:firstLine="720"/>
        <w:jc w:val="both"/>
        <w:rPr>
          <w:sz w:val="20"/>
          <w:szCs w:val="20"/>
        </w:rPr>
      </w:pPr>
      <w:r w:rsidRPr="00D24564">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w:t>
      </w:r>
      <w:r w:rsidRPr="00D24564">
        <w:rPr>
          <w:sz w:val="20"/>
          <w:szCs w:val="20"/>
        </w:rPr>
        <w:lastRenderedPageBreak/>
        <w:t xml:space="preserve">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846988" w:rsidRPr="00D24564" w:rsidRDefault="00846988" w:rsidP="00846988">
      <w:pPr>
        <w:pStyle w:val="BodyText"/>
        <w:ind w:firstLine="720"/>
        <w:jc w:val="both"/>
        <w:rPr>
          <w:sz w:val="20"/>
          <w:szCs w:val="20"/>
        </w:rPr>
      </w:pPr>
      <w:r w:rsidRPr="00D24564">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846988" w:rsidRPr="00D24564" w:rsidRDefault="00846988" w:rsidP="00846988">
      <w:pPr>
        <w:pStyle w:val="BodyText"/>
        <w:ind w:firstLine="720"/>
        <w:jc w:val="both"/>
        <w:rPr>
          <w:sz w:val="20"/>
          <w:szCs w:val="20"/>
        </w:rPr>
      </w:pPr>
      <w:r w:rsidRPr="00D24564">
        <w:rPr>
          <w:sz w:val="20"/>
          <w:szCs w:val="20"/>
        </w:rPr>
        <w:t>Rule 3.14(a) of the ISP as it applies to this Irrevocable Standby Letter of Credit is hereby modified to provide as follows:</w:t>
      </w:r>
    </w:p>
    <w:p w:rsidR="00846988" w:rsidRPr="00D24564" w:rsidRDefault="00846988" w:rsidP="00846988">
      <w:pPr>
        <w:pStyle w:val="BodyTextContinued"/>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846988" w:rsidRPr="00D24564" w:rsidRDefault="00846988" w:rsidP="00846988">
      <w:pPr>
        <w:pStyle w:val="BodyText"/>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rsidR="00846988" w:rsidRPr="00D24564" w:rsidRDefault="00846988" w:rsidP="00846988">
      <w:pPr>
        <w:pStyle w:val="BodyText"/>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846988" w:rsidRPr="00D24564" w:rsidRDefault="00846988" w:rsidP="00846988">
      <w:pPr>
        <w:pStyle w:val="BodyText"/>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846988" w:rsidRPr="00D24564" w:rsidRDefault="00846988" w:rsidP="00846988">
      <w:pPr>
        <w:pStyle w:val="BodyText"/>
        <w:ind w:firstLine="720"/>
        <w:jc w:val="both"/>
        <w:rPr>
          <w:sz w:val="20"/>
          <w:szCs w:val="20"/>
        </w:rPr>
      </w:pPr>
      <w:r w:rsidRPr="00D24564">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846988" w:rsidRPr="00D24564" w:rsidRDefault="00846988" w:rsidP="00846988">
      <w:pPr>
        <w:pStyle w:val="BodyText"/>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rsidR="00846988" w:rsidRPr="00D24564" w:rsidRDefault="00846988" w:rsidP="00846988">
      <w:pPr>
        <w:pStyle w:val="BodyText"/>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846988" w:rsidRPr="00D24564" w:rsidRDefault="00846988" w:rsidP="00846988">
      <w:pPr>
        <w:pStyle w:val="BodyText"/>
        <w:ind w:firstLine="720"/>
        <w:jc w:val="both"/>
        <w:rPr>
          <w:sz w:val="20"/>
          <w:szCs w:val="20"/>
        </w:rPr>
      </w:pPr>
      <w:r w:rsidRPr="00D24564">
        <w:rPr>
          <w:sz w:val="20"/>
          <w:szCs w:val="20"/>
        </w:rPr>
        <w:t>[The Issuing Bank may add specific contact or additional information or administrative-only comments at this point. However, such comments shall not create or alter any rights that vary from the above language].</w:t>
      </w:r>
    </w:p>
    <w:p w:rsidR="00846988" w:rsidRPr="00D24564" w:rsidRDefault="00846988" w:rsidP="00846988">
      <w:pPr>
        <w:widowControl w:val="0"/>
        <w:autoSpaceDE w:val="0"/>
        <w:autoSpaceDN w:val="0"/>
        <w:adjustRightInd w:val="0"/>
        <w:spacing w:line="271" w:lineRule="exact"/>
        <w:ind w:right="-76"/>
        <w:jc w:val="center"/>
        <w:rPr>
          <w:sz w:val="20"/>
          <w:szCs w:val="20"/>
        </w:rPr>
      </w:pPr>
    </w:p>
    <w:p w:rsidR="00846988" w:rsidRPr="00D24564" w:rsidRDefault="00846988" w:rsidP="00846988">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p w:rsidR="00846988" w:rsidRPr="00D24564" w:rsidRDefault="00846988" w:rsidP="00846988">
      <w:pPr>
        <w:widowControl w:val="0"/>
        <w:autoSpaceDE w:val="0"/>
        <w:autoSpaceDN w:val="0"/>
        <w:adjustRightInd w:val="0"/>
        <w:spacing w:line="271" w:lineRule="exact"/>
        <w:ind w:right="-76"/>
        <w:rPr>
          <w:position w:val="-1"/>
          <w:sz w:val="20"/>
          <w:szCs w:val="20"/>
        </w:rPr>
      </w:pPr>
    </w:p>
    <w:p w:rsidR="00CA300E" w:rsidRPr="003C797C" w:rsidRDefault="00CA300E" w:rsidP="00846988">
      <w:pPr>
        <w:widowControl w:val="0"/>
        <w:tabs>
          <w:tab w:val="left" w:pos="5240"/>
          <w:tab w:val="left" w:pos="9360"/>
        </w:tabs>
        <w:autoSpaceDE w:val="0"/>
        <w:autoSpaceDN w:val="0"/>
        <w:adjustRightInd w:val="0"/>
        <w:spacing w:before="29"/>
        <w:jc w:val="center"/>
        <w:rPr>
          <w:position w:val="-1"/>
          <w:sz w:val="20"/>
          <w:szCs w:val="20"/>
        </w:rPr>
      </w:pPr>
    </w:p>
    <w:sectPr w:rsidR="00CA300E" w:rsidRPr="003C79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6DD" w:rsidRDefault="001276DD" w:rsidP="003C797C">
      <w:r>
        <w:separator/>
      </w:r>
    </w:p>
  </w:endnote>
  <w:endnote w:type="continuationSeparator" w:id="0">
    <w:p w:rsidR="001276DD" w:rsidRDefault="001276DD" w:rsidP="003C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81" w:rsidRDefault="00C75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40363"/>
      <w:docPartObj>
        <w:docPartGallery w:val="Page Numbers (Bottom of Page)"/>
        <w:docPartUnique/>
      </w:docPartObj>
    </w:sdtPr>
    <w:sdtEndPr>
      <w:rPr>
        <w:noProof/>
        <w:sz w:val="20"/>
      </w:rPr>
    </w:sdtEndPr>
    <w:sdtContent>
      <w:p w:rsidR="003C797C" w:rsidRPr="005562EC" w:rsidRDefault="003C797C" w:rsidP="003C797C">
        <w:pPr>
          <w:pStyle w:val="Footer"/>
          <w:jc w:val="center"/>
          <w:rPr>
            <w:sz w:val="20"/>
          </w:rPr>
        </w:pPr>
        <w:r w:rsidRPr="005562EC">
          <w:rPr>
            <w:sz w:val="20"/>
          </w:rPr>
          <w:fldChar w:fldCharType="begin"/>
        </w:r>
        <w:r w:rsidRPr="005562EC">
          <w:rPr>
            <w:sz w:val="20"/>
          </w:rPr>
          <w:instrText xml:space="preserve"> PAGE   \* MERGEFORMAT </w:instrText>
        </w:r>
        <w:r w:rsidRPr="005562EC">
          <w:rPr>
            <w:sz w:val="20"/>
          </w:rPr>
          <w:fldChar w:fldCharType="separate"/>
        </w:r>
        <w:r w:rsidR="00C75F81">
          <w:rPr>
            <w:noProof/>
            <w:sz w:val="20"/>
          </w:rPr>
          <w:t>1</w:t>
        </w:r>
        <w:r w:rsidRPr="005562EC">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81" w:rsidRDefault="00C7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6DD" w:rsidRDefault="001276DD" w:rsidP="003C797C">
      <w:r>
        <w:separator/>
      </w:r>
    </w:p>
  </w:footnote>
  <w:footnote w:type="continuationSeparator" w:id="0">
    <w:p w:rsidR="001276DD" w:rsidRDefault="001276DD" w:rsidP="003C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81" w:rsidRDefault="00C75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7C" w:rsidRDefault="003C797C" w:rsidP="003C797C">
    <w:pPr>
      <w:pStyle w:val="Header"/>
    </w:pPr>
    <w:r w:rsidRPr="005562EC">
      <w:rPr>
        <w:color w:val="FF0000"/>
        <w:sz w:val="20"/>
      </w:rPr>
      <w:t xml:space="preserve">Posted: </w:t>
    </w:r>
    <w:bookmarkStart w:id="1" w:name="_GoBack"/>
    <w:r w:rsidR="00184A6D">
      <w:rPr>
        <w:color w:val="FF0000"/>
        <w:sz w:val="20"/>
      </w:rPr>
      <w:t>June 20</w:t>
    </w:r>
    <w:bookmarkEnd w:id="1"/>
    <w:r w:rsidR="00B60ADB" w:rsidRPr="005562EC">
      <w:rPr>
        <w:color w:val="FF0000"/>
        <w:sz w:val="20"/>
      </w:rPr>
      <w:t>, 2018</w:t>
    </w:r>
  </w:p>
  <w:p w:rsidR="003C797C" w:rsidRDefault="003C7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F81" w:rsidRDefault="00C75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7C"/>
    <w:rsid w:val="00074470"/>
    <w:rsid w:val="000F2559"/>
    <w:rsid w:val="001276DD"/>
    <w:rsid w:val="00184A6D"/>
    <w:rsid w:val="003C797C"/>
    <w:rsid w:val="005562EC"/>
    <w:rsid w:val="00675F9D"/>
    <w:rsid w:val="00686491"/>
    <w:rsid w:val="00846988"/>
    <w:rsid w:val="00866E56"/>
    <w:rsid w:val="00A61993"/>
    <w:rsid w:val="00B37128"/>
    <w:rsid w:val="00B60ADB"/>
    <w:rsid w:val="00BA748A"/>
    <w:rsid w:val="00BA7557"/>
    <w:rsid w:val="00C75F81"/>
    <w:rsid w:val="00CA300E"/>
    <w:rsid w:val="00D40FCA"/>
    <w:rsid w:val="00D86A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C6D67-1BC2-42FE-BC9D-33A31B6C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Ye, Pa</cp:lastModifiedBy>
  <cp:revision>13</cp:revision>
  <dcterms:created xsi:type="dcterms:W3CDTF">2017-03-03T14:51:00Z</dcterms:created>
  <dcterms:modified xsi:type="dcterms:W3CDTF">2018-06-20T16:09:00Z</dcterms:modified>
</cp:coreProperties>
</file>