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F9C" w:rsidRPr="00432AFA" w:rsidRDefault="003D5F9C" w:rsidP="00DE745B">
      <w:pPr>
        <w:spacing w:after="240"/>
        <w:jc w:val="center"/>
        <w:rPr>
          <w:b/>
          <w:szCs w:val="22"/>
        </w:rPr>
      </w:pPr>
      <w:bookmarkStart w:id="0" w:name="_GoBack"/>
      <w:bookmarkEnd w:id="0"/>
      <w:r w:rsidRPr="00432AFA">
        <w:rPr>
          <w:b/>
          <w:szCs w:val="22"/>
        </w:rPr>
        <w:t>EXHIBIT A</w:t>
      </w:r>
    </w:p>
    <w:p w:rsidR="00FD35D5" w:rsidRPr="00432AFA" w:rsidRDefault="00FD35D5" w:rsidP="00FD35D5">
      <w:pPr>
        <w:spacing w:after="240"/>
        <w:jc w:val="center"/>
        <w:rPr>
          <w:b/>
          <w:bCs/>
          <w:color w:val="000000"/>
        </w:rPr>
      </w:pPr>
      <w:r w:rsidRPr="00432AFA">
        <w:rPr>
          <w:b/>
          <w:bCs/>
          <w:color w:val="000000"/>
        </w:rPr>
        <w:t>Form of Guaranty</w:t>
      </w:r>
    </w:p>
    <w:p w:rsidR="00502BFF" w:rsidRPr="00432AFA" w:rsidRDefault="00502BFF" w:rsidP="00502BFF">
      <w:pPr>
        <w:autoSpaceDE w:val="0"/>
        <w:autoSpaceDN w:val="0"/>
        <w:adjustRightInd w:val="0"/>
        <w:spacing w:before="240" w:after="240"/>
        <w:jc w:val="both"/>
        <w:rPr>
          <w:rFonts w:cs="Arial"/>
          <w:sz w:val="20"/>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The Guarantor and the Guaranteed Party each hereby irrevocably waives any and all rights to trial by jury with respect to any legal proceeding arising out of or relating to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rsidR="00502BFF" w:rsidRPr="00432AFA" w:rsidRDefault="00502BFF" w:rsidP="00502BFF">
      <w:pPr>
        <w:autoSpaceDE w:val="0"/>
        <w:autoSpaceDN w:val="0"/>
        <w:adjustRightInd w:val="0"/>
        <w:spacing w:before="240" w:after="240"/>
        <w:jc w:val="both"/>
        <w:rPr>
          <w:rFonts w:cs="Arial"/>
          <w:sz w:val="20"/>
        </w:rPr>
      </w:pP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3275CD">
      <w:headerReference w:type="default" r:id="rId8"/>
      <w:footerReference w:type="default" r:id="rId9"/>
      <w:footerReference w:type="firs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DF" w:rsidRDefault="002847DF">
      <w:r>
        <w:separator/>
      </w:r>
    </w:p>
  </w:endnote>
  <w:endnote w:type="continuationSeparator" w:id="0">
    <w:p w:rsidR="002847DF" w:rsidRDefault="002847DF">
      <w:r>
        <w:continuationSeparator/>
      </w:r>
    </w:p>
  </w:endnote>
  <w:endnote w:type="continuationNotice" w:id="1">
    <w:p w:rsidR="002847DF" w:rsidRDefault="0028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203084"/>
      <w:docPartObj>
        <w:docPartGallery w:val="Page Numbers (Bottom of Page)"/>
        <w:docPartUnique/>
      </w:docPartObj>
    </w:sdtPr>
    <w:sdtEndPr>
      <w:rPr>
        <w:noProof/>
      </w:rPr>
    </w:sdtEndPr>
    <w:sdtContent>
      <w:p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DF" w:rsidRDefault="002847DF">
      <w:r>
        <w:separator/>
      </w:r>
    </w:p>
  </w:footnote>
  <w:footnote w:type="continuationSeparator" w:id="0">
    <w:p w:rsidR="002847DF" w:rsidRDefault="002847DF">
      <w:r>
        <w:continuationSeparator/>
      </w:r>
    </w:p>
  </w:footnote>
  <w:footnote w:type="continuationNotice" w:id="1">
    <w:p w:rsidR="002847DF" w:rsidRDefault="00284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5CD" w:rsidRDefault="00A647AE">
    <w:pPr>
      <w:pStyle w:val="Header"/>
    </w:pPr>
    <w:r w:rsidRPr="00594BAF">
      <w:rPr>
        <w:color w:val="FF0000"/>
        <w:sz w:val="20"/>
      </w:rPr>
      <w:t xml:space="preserve">Posted: </w:t>
    </w:r>
    <w:r w:rsidR="00511A26">
      <w:rPr>
        <w:color w:val="FF0000"/>
        <w:sz w:val="20"/>
      </w:rPr>
      <w:t>July 10</w:t>
    </w:r>
    <w:r>
      <w:rPr>
        <w:color w:val="FF0000"/>
        <w:sz w:val="2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1A26"/>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2631"/>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9213-3E7A-4CF9-81E7-29B3D793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2019-03-21T21:18:00Z</dcterms:created>
  <dcterms:modified xsi:type="dcterms:W3CDTF">2020-07-09T19:45:00Z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