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0CD" w:rsidRDefault="007130CD"/>
    <w:p w:rsidR="007130CD" w:rsidRDefault="007130CD">
      <w:pPr>
        <w:pBdr>
          <w:bottom w:val="double" w:sz="4" w:space="1" w:color="auto"/>
        </w:pBdr>
      </w:pPr>
    </w:p>
    <w:p w:rsidR="007130CD" w:rsidRDefault="007130CD"/>
    <w:p w:rsidR="007130CD" w:rsidRDefault="007130CD"/>
    <w:p w:rsidR="007130CD" w:rsidRDefault="007130CD"/>
    <w:p w:rsidR="007130CD" w:rsidRPr="003E7FFC" w:rsidRDefault="007130CD">
      <w:pPr>
        <w:pStyle w:val="CoverTitle"/>
      </w:pPr>
      <w:r w:rsidRPr="003E7FFC">
        <w:t>Master Power</w:t>
      </w:r>
    </w:p>
    <w:p w:rsidR="007130CD" w:rsidRPr="003E7FFC" w:rsidRDefault="007130CD">
      <w:pPr>
        <w:pStyle w:val="CoverTitle"/>
      </w:pPr>
      <w:r w:rsidRPr="003E7FFC">
        <w:t xml:space="preserve">Purchase </w:t>
      </w:r>
      <w:r w:rsidRPr="003E7FFC">
        <w:rPr>
          <w:color w:val="808080"/>
        </w:rPr>
        <w:t>&amp;</w:t>
      </w:r>
      <w:r w:rsidRPr="003E7FFC">
        <w:t xml:space="preserve"> Sale</w:t>
      </w:r>
    </w:p>
    <w:p w:rsidR="007130CD" w:rsidRPr="003E7FFC" w:rsidRDefault="007130CD">
      <w:pPr>
        <w:pStyle w:val="CoverTitle"/>
      </w:pPr>
      <w:r w:rsidRPr="003E7FFC">
        <w:t>Agreement</w:t>
      </w:r>
    </w:p>
    <w:p w:rsidR="007130CD" w:rsidRPr="003E7FFC" w:rsidRDefault="007130CD"/>
    <w:p w:rsidR="007130CD" w:rsidRPr="003E7FFC" w:rsidRDefault="007130CD"/>
    <w:p w:rsidR="007130CD" w:rsidRPr="003E7FFC" w:rsidRDefault="007130CD">
      <w:pPr>
        <w:pBdr>
          <w:bottom w:val="double" w:sz="4" w:space="1" w:color="auto"/>
        </w:pBdr>
      </w:pPr>
    </w:p>
    <w:p w:rsidR="007130CD" w:rsidRPr="003E7FFC" w:rsidRDefault="007130CD"/>
    <w:p w:rsidR="007130CD" w:rsidRPr="003E7FFC" w:rsidRDefault="007130CD"/>
    <w:p w:rsidR="007130CD" w:rsidRPr="003E7FFC" w:rsidRDefault="007130CD"/>
    <w:p w:rsidR="007130CD" w:rsidRPr="003E7FFC" w:rsidRDefault="007130CD"/>
    <w:p w:rsidR="007130CD" w:rsidRPr="003E7FFC" w:rsidRDefault="007130CD"/>
    <w:p w:rsidR="007130CD" w:rsidRPr="003E7FFC" w:rsidRDefault="007130CD"/>
    <w:p w:rsidR="007130CD" w:rsidRPr="003E7FFC" w:rsidRDefault="007130CD"/>
    <w:p w:rsidR="007130CD" w:rsidRPr="003E7FFC" w:rsidRDefault="007130CD"/>
    <w:p w:rsidR="007130CD" w:rsidRPr="003E7FFC" w:rsidRDefault="007130CD"/>
    <w:p w:rsidR="007130CD" w:rsidRPr="003E7FFC" w:rsidRDefault="007130CD"/>
    <w:p w:rsidR="007130CD" w:rsidRPr="003E7FFC" w:rsidRDefault="00F75471">
      <w:pPr>
        <w:ind w:firstLine="720"/>
      </w:pPr>
      <w:r w:rsidRPr="003E7FFC">
        <w:rPr>
          <w:noProof/>
        </w:rPr>
        <w:lastRenderedPageBreak/>
        <w:drawing>
          <wp:inline distT="0" distB="0" distL="0" distR="0">
            <wp:extent cx="2125345" cy="584200"/>
            <wp:effectExtent l="0" t="0" r="8255" b="6350"/>
            <wp:docPr id="1" name="Picture 1" descr="EE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5345" cy="584200"/>
                    </a:xfrm>
                    <a:prstGeom prst="rect">
                      <a:avLst/>
                    </a:prstGeom>
                    <a:noFill/>
                    <a:ln>
                      <a:noFill/>
                    </a:ln>
                  </pic:spPr>
                </pic:pic>
              </a:graphicData>
            </a:graphic>
          </wp:inline>
        </w:drawing>
      </w:r>
      <w:r w:rsidR="007130CD" w:rsidRPr="003E7FFC">
        <w:tab/>
      </w:r>
      <w:r w:rsidR="007130CD" w:rsidRPr="003E7FFC">
        <w:tab/>
      </w:r>
      <w:r w:rsidR="007130CD" w:rsidRPr="003E7FFC">
        <w:tab/>
        <w:t xml:space="preserve">                        </w:t>
      </w:r>
      <w:r w:rsidRPr="003E7FFC">
        <w:rPr>
          <w:noProof/>
        </w:rPr>
        <w:drawing>
          <wp:inline distT="0" distB="0" distL="0" distR="0">
            <wp:extent cx="1168400" cy="11766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8400" cy="1176655"/>
                    </a:xfrm>
                    <a:prstGeom prst="rect">
                      <a:avLst/>
                    </a:prstGeom>
                    <a:noFill/>
                    <a:ln>
                      <a:noFill/>
                    </a:ln>
                  </pic:spPr>
                </pic:pic>
              </a:graphicData>
            </a:graphic>
          </wp:inline>
        </w:drawing>
      </w:r>
    </w:p>
    <w:p w:rsidR="007130CD" w:rsidRPr="003E7FFC" w:rsidRDefault="007130CD"/>
    <w:p w:rsidR="007130CD" w:rsidRPr="003E7FFC" w:rsidRDefault="007130CD">
      <w:pPr>
        <w:sectPr w:rsidR="007130CD" w:rsidRPr="003E7FFC">
          <w:headerReference w:type="default" r:id="rId10"/>
          <w:footerReference w:type="default" r:id="rId11"/>
          <w:headerReference w:type="first" r:id="rId12"/>
          <w:footerReference w:type="first" r:id="rId13"/>
          <w:pgSz w:w="12240" w:h="15840" w:code="1"/>
          <w:pgMar w:top="1440" w:right="1440" w:bottom="1440" w:left="1440" w:header="720" w:footer="576" w:gutter="0"/>
          <w:cols w:space="720"/>
          <w:titlePg/>
          <w:docGrid w:linePitch="254"/>
        </w:sectPr>
      </w:pPr>
    </w:p>
    <w:p w:rsidR="007130CD" w:rsidRPr="003E7FFC" w:rsidRDefault="007130CD">
      <w:pPr>
        <w:pStyle w:val="Title"/>
      </w:pPr>
      <w:r w:rsidRPr="003E7FFC">
        <w:lastRenderedPageBreak/>
        <w:t>MASTER</w:t>
      </w:r>
      <w:bookmarkStart w:id="0" w:name="_GoBack"/>
      <w:bookmarkEnd w:id="0"/>
      <w:r w:rsidRPr="003E7FFC">
        <w:t xml:space="preserve"> POWER PURCHASE AND SALE AGREEMENT</w:t>
      </w:r>
    </w:p>
    <w:p w:rsidR="007130CD" w:rsidRPr="003E7FFC" w:rsidRDefault="007130CD">
      <w:pPr>
        <w:pStyle w:val="Title"/>
      </w:pPr>
      <w:r w:rsidRPr="003E7FFC">
        <w:t>TABLE OF CONTENTS</w:t>
      </w:r>
    </w:p>
    <w:p w:rsidR="002D4AF1" w:rsidRDefault="0005163E">
      <w:pPr>
        <w:pStyle w:val="TOC1"/>
        <w:rPr>
          <w:rFonts w:asciiTheme="minorHAnsi" w:eastAsiaTheme="minorEastAsia" w:hAnsiTheme="minorHAnsi" w:cstheme="minorBidi"/>
          <w:caps w:val="0"/>
          <w:sz w:val="22"/>
          <w:szCs w:val="22"/>
        </w:rPr>
      </w:pPr>
      <w:r w:rsidRPr="003E7FFC">
        <w:rPr>
          <w:caps w:val="0"/>
        </w:rPr>
        <w:fldChar w:fldCharType="begin"/>
      </w:r>
      <w:r w:rsidR="007130CD" w:rsidRPr="003E7FFC">
        <w:rPr>
          <w:caps w:val="0"/>
        </w:rPr>
        <w:instrText xml:space="preserve"> TOC \f </w:instrText>
      </w:r>
      <w:r w:rsidRPr="003E7FFC">
        <w:rPr>
          <w:caps w:val="0"/>
        </w:rPr>
        <w:fldChar w:fldCharType="separate"/>
      </w:r>
      <w:r w:rsidR="002D4AF1" w:rsidRPr="002D4AF1">
        <w:t>COVER SHEET</w:t>
      </w:r>
      <w:r w:rsidR="002D4AF1">
        <w:tab/>
      </w:r>
      <w:r w:rsidR="002D4AF1">
        <w:tab/>
      </w:r>
      <w:r w:rsidR="002D4AF1">
        <w:fldChar w:fldCharType="begin"/>
      </w:r>
      <w:r w:rsidR="002D4AF1">
        <w:instrText xml:space="preserve"> PAGEREF _Toc64375667 \h </w:instrText>
      </w:r>
      <w:r w:rsidR="002D4AF1">
        <w:fldChar w:fldCharType="separate"/>
      </w:r>
      <w:r w:rsidR="002D4AF1">
        <w:t>1</w:t>
      </w:r>
      <w:r w:rsidR="002D4AF1">
        <w:fldChar w:fldCharType="end"/>
      </w:r>
    </w:p>
    <w:p w:rsidR="002D4AF1" w:rsidRDefault="002D4AF1">
      <w:pPr>
        <w:pStyle w:val="TOC1"/>
        <w:rPr>
          <w:rFonts w:asciiTheme="minorHAnsi" w:eastAsiaTheme="minorEastAsia" w:hAnsiTheme="minorHAnsi" w:cstheme="minorBidi"/>
          <w:caps w:val="0"/>
          <w:sz w:val="22"/>
          <w:szCs w:val="22"/>
        </w:rPr>
      </w:pPr>
      <w:r>
        <w:t>GENERAL TERMS AND CONDITIONS</w:t>
      </w:r>
      <w:r>
        <w:tab/>
      </w:r>
      <w:r>
        <w:fldChar w:fldCharType="begin"/>
      </w:r>
      <w:r>
        <w:instrText xml:space="preserve"> PAGEREF _Toc64375668 \h </w:instrText>
      </w:r>
      <w:r>
        <w:fldChar w:fldCharType="separate"/>
      </w:r>
      <w:r>
        <w:t>22</w:t>
      </w:r>
      <w:r>
        <w:fldChar w:fldCharType="end"/>
      </w:r>
    </w:p>
    <w:p w:rsidR="002D4AF1" w:rsidRDefault="002D4AF1">
      <w:pPr>
        <w:pStyle w:val="TOC1"/>
        <w:rPr>
          <w:rFonts w:asciiTheme="minorHAnsi" w:eastAsiaTheme="minorEastAsia" w:hAnsiTheme="minorHAnsi" w:cstheme="minorBidi"/>
          <w:caps w:val="0"/>
          <w:sz w:val="22"/>
          <w:szCs w:val="22"/>
        </w:rPr>
      </w:pPr>
      <w:r>
        <w:t>ARTICLE ONE:</w:t>
      </w:r>
      <w:r>
        <w:rPr>
          <w:rFonts w:asciiTheme="minorHAnsi" w:eastAsiaTheme="minorEastAsia" w:hAnsiTheme="minorHAnsi" w:cstheme="minorBidi"/>
          <w:caps w:val="0"/>
          <w:sz w:val="22"/>
          <w:szCs w:val="22"/>
        </w:rPr>
        <w:tab/>
      </w:r>
      <w:r>
        <w:t>GENERAL DEFINITIONS</w:t>
      </w:r>
      <w:r>
        <w:tab/>
      </w:r>
      <w:r>
        <w:fldChar w:fldCharType="begin"/>
      </w:r>
      <w:r>
        <w:instrText xml:space="preserve"> PAGEREF _Toc64375669 \h </w:instrText>
      </w:r>
      <w:r>
        <w:fldChar w:fldCharType="separate"/>
      </w:r>
      <w:r>
        <w:t>22</w:t>
      </w:r>
      <w:r>
        <w:fldChar w:fldCharType="end"/>
      </w:r>
    </w:p>
    <w:p w:rsidR="002D4AF1" w:rsidRDefault="002D4AF1">
      <w:pPr>
        <w:pStyle w:val="TOC1"/>
        <w:rPr>
          <w:rFonts w:asciiTheme="minorHAnsi" w:eastAsiaTheme="minorEastAsia" w:hAnsiTheme="minorHAnsi" w:cstheme="minorBidi"/>
          <w:caps w:val="0"/>
          <w:sz w:val="22"/>
          <w:szCs w:val="22"/>
        </w:rPr>
      </w:pPr>
      <w:r>
        <w:t>ARTICLE TWO:</w:t>
      </w:r>
      <w:r>
        <w:rPr>
          <w:rFonts w:asciiTheme="minorHAnsi" w:eastAsiaTheme="minorEastAsia" w:hAnsiTheme="minorHAnsi" w:cstheme="minorBidi"/>
          <w:caps w:val="0"/>
          <w:sz w:val="22"/>
          <w:szCs w:val="22"/>
        </w:rPr>
        <w:tab/>
      </w:r>
      <w:r>
        <w:t>TRANSACTION TERMS AND CONDITIONS</w:t>
      </w:r>
      <w:r>
        <w:tab/>
      </w:r>
      <w:r>
        <w:fldChar w:fldCharType="begin"/>
      </w:r>
      <w:r>
        <w:instrText xml:space="preserve"> PAGEREF _Toc64375670 \h </w:instrText>
      </w:r>
      <w:r>
        <w:fldChar w:fldCharType="separate"/>
      </w:r>
      <w:r>
        <w:t>27</w:t>
      </w:r>
      <w:r>
        <w:fldChar w:fldCharType="end"/>
      </w:r>
    </w:p>
    <w:p w:rsidR="002D4AF1" w:rsidRDefault="002D4AF1">
      <w:pPr>
        <w:pStyle w:val="TOC2"/>
        <w:rPr>
          <w:rFonts w:asciiTheme="minorHAnsi" w:eastAsiaTheme="minorEastAsia" w:hAnsiTheme="minorHAnsi" w:cstheme="minorBidi"/>
          <w:sz w:val="22"/>
          <w:szCs w:val="22"/>
        </w:rPr>
      </w:pPr>
      <w:r>
        <w:t>2.1</w:t>
      </w:r>
      <w:r>
        <w:rPr>
          <w:rFonts w:asciiTheme="minorHAnsi" w:eastAsiaTheme="minorEastAsia" w:hAnsiTheme="minorHAnsi" w:cstheme="minorBidi"/>
          <w:sz w:val="22"/>
          <w:szCs w:val="22"/>
        </w:rPr>
        <w:tab/>
      </w:r>
      <w:r>
        <w:t>Transactions</w:t>
      </w:r>
      <w:r>
        <w:tab/>
      </w:r>
      <w:r>
        <w:fldChar w:fldCharType="begin"/>
      </w:r>
      <w:r>
        <w:instrText xml:space="preserve"> PAGEREF _Toc64375671 \h </w:instrText>
      </w:r>
      <w:r>
        <w:fldChar w:fldCharType="separate"/>
      </w:r>
      <w:r>
        <w:t>27</w:t>
      </w:r>
      <w:r>
        <w:fldChar w:fldCharType="end"/>
      </w:r>
    </w:p>
    <w:p w:rsidR="002D4AF1" w:rsidRDefault="002D4AF1">
      <w:pPr>
        <w:pStyle w:val="TOC2"/>
        <w:rPr>
          <w:rFonts w:asciiTheme="minorHAnsi" w:eastAsiaTheme="minorEastAsia" w:hAnsiTheme="minorHAnsi" w:cstheme="minorBidi"/>
          <w:sz w:val="22"/>
          <w:szCs w:val="22"/>
        </w:rPr>
      </w:pPr>
      <w:r>
        <w:t>2.2</w:t>
      </w:r>
      <w:r>
        <w:rPr>
          <w:rFonts w:asciiTheme="minorHAnsi" w:eastAsiaTheme="minorEastAsia" w:hAnsiTheme="minorHAnsi" w:cstheme="minorBidi"/>
          <w:sz w:val="22"/>
          <w:szCs w:val="22"/>
        </w:rPr>
        <w:tab/>
      </w:r>
      <w:r>
        <w:t>Governing Terms</w:t>
      </w:r>
      <w:r>
        <w:tab/>
      </w:r>
      <w:r>
        <w:fldChar w:fldCharType="begin"/>
      </w:r>
      <w:r>
        <w:instrText xml:space="preserve"> PAGEREF _Toc64375672 \h </w:instrText>
      </w:r>
      <w:r>
        <w:fldChar w:fldCharType="separate"/>
      </w:r>
      <w:r>
        <w:t>27</w:t>
      </w:r>
      <w:r>
        <w:fldChar w:fldCharType="end"/>
      </w:r>
    </w:p>
    <w:p w:rsidR="002D4AF1" w:rsidRDefault="002D4AF1">
      <w:pPr>
        <w:pStyle w:val="TOC2"/>
        <w:rPr>
          <w:rFonts w:asciiTheme="minorHAnsi" w:eastAsiaTheme="minorEastAsia" w:hAnsiTheme="minorHAnsi" w:cstheme="minorBidi"/>
          <w:sz w:val="22"/>
          <w:szCs w:val="22"/>
        </w:rPr>
      </w:pPr>
      <w:r>
        <w:t>2.3</w:t>
      </w:r>
      <w:r>
        <w:rPr>
          <w:rFonts w:asciiTheme="minorHAnsi" w:eastAsiaTheme="minorEastAsia" w:hAnsiTheme="minorHAnsi" w:cstheme="minorBidi"/>
          <w:sz w:val="22"/>
          <w:szCs w:val="22"/>
        </w:rPr>
        <w:tab/>
      </w:r>
      <w:r>
        <w:t>Confirmation</w:t>
      </w:r>
      <w:r>
        <w:tab/>
      </w:r>
      <w:r>
        <w:fldChar w:fldCharType="begin"/>
      </w:r>
      <w:r>
        <w:instrText xml:space="preserve"> PAGEREF _Toc64375673 \h </w:instrText>
      </w:r>
      <w:r>
        <w:fldChar w:fldCharType="separate"/>
      </w:r>
      <w:r>
        <w:t>27</w:t>
      </w:r>
      <w:r>
        <w:fldChar w:fldCharType="end"/>
      </w:r>
    </w:p>
    <w:p w:rsidR="002D4AF1" w:rsidRDefault="002D4AF1">
      <w:pPr>
        <w:pStyle w:val="TOC2"/>
        <w:rPr>
          <w:rFonts w:asciiTheme="minorHAnsi" w:eastAsiaTheme="minorEastAsia" w:hAnsiTheme="minorHAnsi" w:cstheme="minorBidi"/>
          <w:sz w:val="22"/>
          <w:szCs w:val="22"/>
        </w:rPr>
      </w:pPr>
      <w:r>
        <w:t>2.4</w:t>
      </w:r>
      <w:r>
        <w:rPr>
          <w:rFonts w:asciiTheme="minorHAnsi" w:eastAsiaTheme="minorEastAsia" w:hAnsiTheme="minorHAnsi" w:cstheme="minorBidi"/>
          <w:sz w:val="22"/>
          <w:szCs w:val="22"/>
        </w:rPr>
        <w:tab/>
      </w:r>
      <w:r>
        <w:t>Additional Confirmation Terms</w:t>
      </w:r>
      <w:r>
        <w:tab/>
      </w:r>
      <w:r>
        <w:fldChar w:fldCharType="begin"/>
      </w:r>
      <w:r>
        <w:instrText xml:space="preserve"> PAGEREF _Toc64375674 \h </w:instrText>
      </w:r>
      <w:r>
        <w:fldChar w:fldCharType="separate"/>
      </w:r>
      <w:r>
        <w:t>28</w:t>
      </w:r>
      <w:r>
        <w:fldChar w:fldCharType="end"/>
      </w:r>
    </w:p>
    <w:p w:rsidR="002D4AF1" w:rsidRDefault="002D4AF1">
      <w:pPr>
        <w:pStyle w:val="TOC2"/>
        <w:rPr>
          <w:rFonts w:asciiTheme="minorHAnsi" w:eastAsiaTheme="minorEastAsia" w:hAnsiTheme="minorHAnsi" w:cstheme="minorBidi"/>
          <w:sz w:val="22"/>
          <w:szCs w:val="22"/>
        </w:rPr>
      </w:pPr>
      <w:r>
        <w:t>2.5</w:t>
      </w:r>
      <w:r>
        <w:rPr>
          <w:rFonts w:asciiTheme="minorHAnsi" w:eastAsiaTheme="minorEastAsia" w:hAnsiTheme="minorHAnsi" w:cstheme="minorBidi"/>
          <w:sz w:val="22"/>
          <w:szCs w:val="22"/>
        </w:rPr>
        <w:tab/>
      </w:r>
      <w:r>
        <w:t>Recording</w:t>
      </w:r>
      <w:r>
        <w:tab/>
      </w:r>
      <w:r>
        <w:fldChar w:fldCharType="begin"/>
      </w:r>
      <w:r>
        <w:instrText xml:space="preserve"> PAGEREF _Toc64375675 \h </w:instrText>
      </w:r>
      <w:r>
        <w:fldChar w:fldCharType="separate"/>
      </w:r>
      <w:r>
        <w:t>28</w:t>
      </w:r>
      <w:r>
        <w:fldChar w:fldCharType="end"/>
      </w:r>
    </w:p>
    <w:p w:rsidR="002D4AF1" w:rsidRDefault="002D4AF1">
      <w:pPr>
        <w:pStyle w:val="TOC1"/>
        <w:rPr>
          <w:rFonts w:asciiTheme="minorHAnsi" w:eastAsiaTheme="minorEastAsia" w:hAnsiTheme="minorHAnsi" w:cstheme="minorBidi"/>
          <w:caps w:val="0"/>
          <w:sz w:val="22"/>
          <w:szCs w:val="22"/>
        </w:rPr>
      </w:pPr>
      <w:r>
        <w:t>ARTICLE THREE:</w:t>
      </w:r>
      <w:r>
        <w:rPr>
          <w:rFonts w:asciiTheme="minorHAnsi" w:eastAsiaTheme="minorEastAsia" w:hAnsiTheme="minorHAnsi" w:cstheme="minorBidi"/>
          <w:caps w:val="0"/>
          <w:sz w:val="22"/>
          <w:szCs w:val="22"/>
        </w:rPr>
        <w:tab/>
      </w:r>
      <w:r>
        <w:t>OBLIGATIONS AND DELIVERIES</w:t>
      </w:r>
      <w:r>
        <w:tab/>
      </w:r>
      <w:r>
        <w:fldChar w:fldCharType="begin"/>
      </w:r>
      <w:r>
        <w:instrText xml:space="preserve"> PAGEREF _Toc64375676 \h </w:instrText>
      </w:r>
      <w:r>
        <w:fldChar w:fldCharType="separate"/>
      </w:r>
      <w:r>
        <w:t>28</w:t>
      </w:r>
      <w:r>
        <w:fldChar w:fldCharType="end"/>
      </w:r>
    </w:p>
    <w:p w:rsidR="002D4AF1" w:rsidRDefault="002D4AF1">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Seller’s and Buyer’s Obligations</w:t>
      </w:r>
      <w:r>
        <w:tab/>
      </w:r>
      <w:r>
        <w:fldChar w:fldCharType="begin"/>
      </w:r>
      <w:r>
        <w:instrText xml:space="preserve"> PAGEREF _Toc64375677 \h </w:instrText>
      </w:r>
      <w:r>
        <w:fldChar w:fldCharType="separate"/>
      </w:r>
      <w:r>
        <w:t>28</w:t>
      </w:r>
      <w:r>
        <w:fldChar w:fldCharType="end"/>
      </w:r>
    </w:p>
    <w:p w:rsidR="002D4AF1" w:rsidRDefault="002D4AF1">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Transmission and Scheduling</w:t>
      </w:r>
      <w:r>
        <w:tab/>
      </w:r>
      <w:r>
        <w:fldChar w:fldCharType="begin"/>
      </w:r>
      <w:r>
        <w:instrText xml:space="preserve"> PAGEREF _Toc64375678 \h </w:instrText>
      </w:r>
      <w:r>
        <w:fldChar w:fldCharType="separate"/>
      </w:r>
      <w:r>
        <w:t>28</w:t>
      </w:r>
      <w:r>
        <w:fldChar w:fldCharType="end"/>
      </w:r>
    </w:p>
    <w:p w:rsidR="002D4AF1" w:rsidRDefault="002D4AF1">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Force Majeure</w:t>
      </w:r>
      <w:r>
        <w:tab/>
      </w:r>
      <w:r>
        <w:fldChar w:fldCharType="begin"/>
      </w:r>
      <w:r>
        <w:instrText xml:space="preserve"> PAGEREF _Toc64375679 \h </w:instrText>
      </w:r>
      <w:r>
        <w:fldChar w:fldCharType="separate"/>
      </w:r>
      <w:r>
        <w:t>28</w:t>
      </w:r>
      <w:r>
        <w:fldChar w:fldCharType="end"/>
      </w:r>
    </w:p>
    <w:p w:rsidR="002D4AF1" w:rsidRDefault="002D4AF1">
      <w:pPr>
        <w:pStyle w:val="TOC1"/>
        <w:rPr>
          <w:rFonts w:asciiTheme="minorHAnsi" w:eastAsiaTheme="minorEastAsia" w:hAnsiTheme="minorHAnsi" w:cstheme="minorBidi"/>
          <w:caps w:val="0"/>
          <w:sz w:val="22"/>
          <w:szCs w:val="22"/>
        </w:rPr>
      </w:pPr>
      <w:r>
        <w:t>ARTICLE FOUR:</w:t>
      </w:r>
      <w:r>
        <w:rPr>
          <w:rFonts w:asciiTheme="minorHAnsi" w:eastAsiaTheme="minorEastAsia" w:hAnsiTheme="minorHAnsi" w:cstheme="minorBidi"/>
          <w:caps w:val="0"/>
          <w:sz w:val="22"/>
          <w:szCs w:val="22"/>
        </w:rPr>
        <w:tab/>
      </w:r>
      <w:r>
        <w:t>REMEDIES FOR FAILURE TO DELIVER/RECEIVE</w:t>
      </w:r>
      <w:r>
        <w:tab/>
      </w:r>
      <w:r>
        <w:fldChar w:fldCharType="begin"/>
      </w:r>
      <w:r>
        <w:instrText xml:space="preserve"> PAGEREF _Toc64375680 \h </w:instrText>
      </w:r>
      <w:r>
        <w:fldChar w:fldCharType="separate"/>
      </w:r>
      <w:r>
        <w:t>29</w:t>
      </w:r>
      <w:r>
        <w:fldChar w:fldCharType="end"/>
      </w:r>
    </w:p>
    <w:p w:rsidR="002D4AF1" w:rsidRDefault="002D4AF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Seller Failure</w:t>
      </w:r>
      <w:r>
        <w:tab/>
      </w:r>
      <w:r>
        <w:fldChar w:fldCharType="begin"/>
      </w:r>
      <w:r>
        <w:instrText xml:space="preserve"> PAGEREF _Toc64375681 \h </w:instrText>
      </w:r>
      <w:r>
        <w:fldChar w:fldCharType="separate"/>
      </w:r>
      <w:r>
        <w:t>29</w:t>
      </w:r>
      <w:r>
        <w:fldChar w:fldCharType="end"/>
      </w:r>
    </w:p>
    <w:p w:rsidR="002D4AF1" w:rsidRDefault="002D4AF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Buyer Failure</w:t>
      </w:r>
      <w:r>
        <w:tab/>
      </w:r>
      <w:r>
        <w:fldChar w:fldCharType="begin"/>
      </w:r>
      <w:r>
        <w:instrText xml:space="preserve"> PAGEREF _Toc64375682 \h </w:instrText>
      </w:r>
      <w:r>
        <w:fldChar w:fldCharType="separate"/>
      </w:r>
      <w:r>
        <w:t>29</w:t>
      </w:r>
      <w:r>
        <w:fldChar w:fldCharType="end"/>
      </w:r>
    </w:p>
    <w:p w:rsidR="002D4AF1" w:rsidRDefault="002D4AF1">
      <w:pPr>
        <w:pStyle w:val="TOC1"/>
        <w:rPr>
          <w:rFonts w:asciiTheme="minorHAnsi" w:eastAsiaTheme="minorEastAsia" w:hAnsiTheme="minorHAnsi" w:cstheme="minorBidi"/>
          <w:caps w:val="0"/>
          <w:sz w:val="22"/>
          <w:szCs w:val="22"/>
        </w:rPr>
      </w:pPr>
      <w:r>
        <w:t>ARTICLE FIVE:</w:t>
      </w:r>
      <w:r>
        <w:rPr>
          <w:rFonts w:asciiTheme="minorHAnsi" w:eastAsiaTheme="minorEastAsia" w:hAnsiTheme="minorHAnsi" w:cstheme="minorBidi"/>
          <w:caps w:val="0"/>
          <w:sz w:val="22"/>
          <w:szCs w:val="22"/>
        </w:rPr>
        <w:tab/>
      </w:r>
      <w:r>
        <w:t>EVENTS OF DEFAULT; REMEDIES</w:t>
      </w:r>
      <w:r>
        <w:tab/>
      </w:r>
      <w:r>
        <w:fldChar w:fldCharType="begin"/>
      </w:r>
      <w:r>
        <w:instrText xml:space="preserve"> PAGEREF _Toc64375683 \h </w:instrText>
      </w:r>
      <w:r>
        <w:fldChar w:fldCharType="separate"/>
      </w:r>
      <w:r>
        <w:t>29</w:t>
      </w:r>
      <w:r>
        <w:fldChar w:fldCharType="end"/>
      </w:r>
    </w:p>
    <w:p w:rsidR="002D4AF1" w:rsidRDefault="002D4AF1">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Events of Default</w:t>
      </w:r>
      <w:r>
        <w:tab/>
      </w:r>
      <w:r>
        <w:fldChar w:fldCharType="begin"/>
      </w:r>
      <w:r>
        <w:instrText xml:space="preserve"> PAGEREF _Toc64375684 \h </w:instrText>
      </w:r>
      <w:r>
        <w:fldChar w:fldCharType="separate"/>
      </w:r>
      <w:r>
        <w:t>29</w:t>
      </w:r>
      <w:r>
        <w:fldChar w:fldCharType="end"/>
      </w:r>
    </w:p>
    <w:p w:rsidR="002D4AF1" w:rsidRDefault="002D4AF1">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Declaration of an Early Termination Date and Calculation of Settlement Amounts</w:t>
      </w:r>
      <w:r>
        <w:tab/>
      </w:r>
      <w:r>
        <w:fldChar w:fldCharType="begin"/>
      </w:r>
      <w:r>
        <w:instrText xml:space="preserve"> PAGEREF _Toc64375685 \h </w:instrText>
      </w:r>
      <w:r>
        <w:fldChar w:fldCharType="separate"/>
      </w:r>
      <w:r>
        <w:t>31</w:t>
      </w:r>
      <w:r>
        <w:fldChar w:fldCharType="end"/>
      </w:r>
    </w:p>
    <w:p w:rsidR="002D4AF1" w:rsidRDefault="002D4AF1">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Net Out of Settlement Amounts</w:t>
      </w:r>
      <w:r>
        <w:tab/>
      </w:r>
      <w:r>
        <w:fldChar w:fldCharType="begin"/>
      </w:r>
      <w:r>
        <w:instrText xml:space="preserve"> PAGEREF _Toc64375686 \h </w:instrText>
      </w:r>
      <w:r>
        <w:fldChar w:fldCharType="separate"/>
      </w:r>
      <w:r>
        <w:t>31</w:t>
      </w:r>
      <w:r>
        <w:fldChar w:fldCharType="end"/>
      </w:r>
    </w:p>
    <w:p w:rsidR="002D4AF1" w:rsidRDefault="002D4AF1">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Notice of Payment of Termination Payment</w:t>
      </w:r>
      <w:r>
        <w:tab/>
      </w:r>
      <w:r>
        <w:fldChar w:fldCharType="begin"/>
      </w:r>
      <w:r>
        <w:instrText xml:space="preserve"> PAGEREF _Toc64375687 \h </w:instrText>
      </w:r>
      <w:r>
        <w:fldChar w:fldCharType="separate"/>
      </w:r>
      <w:r>
        <w:t>31</w:t>
      </w:r>
      <w:r>
        <w:fldChar w:fldCharType="end"/>
      </w:r>
    </w:p>
    <w:p w:rsidR="002D4AF1" w:rsidRDefault="002D4AF1">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Disputes With Respect to Termination Payment</w:t>
      </w:r>
      <w:r>
        <w:tab/>
      </w:r>
      <w:r>
        <w:fldChar w:fldCharType="begin"/>
      </w:r>
      <w:r>
        <w:instrText xml:space="preserve"> PAGEREF _Toc64375688 \h </w:instrText>
      </w:r>
      <w:r>
        <w:fldChar w:fldCharType="separate"/>
      </w:r>
      <w:r>
        <w:t>31</w:t>
      </w:r>
      <w:r>
        <w:fldChar w:fldCharType="end"/>
      </w:r>
    </w:p>
    <w:p w:rsidR="002D4AF1" w:rsidRDefault="002D4AF1">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Closeout Setoffs</w:t>
      </w:r>
      <w:r>
        <w:tab/>
      </w:r>
      <w:r>
        <w:fldChar w:fldCharType="begin"/>
      </w:r>
      <w:r>
        <w:instrText xml:space="preserve"> PAGEREF _Toc64375689 \h </w:instrText>
      </w:r>
      <w:r>
        <w:fldChar w:fldCharType="separate"/>
      </w:r>
      <w:r>
        <w:t>31</w:t>
      </w:r>
      <w:r>
        <w:fldChar w:fldCharType="end"/>
      </w:r>
    </w:p>
    <w:p w:rsidR="002D4AF1" w:rsidRDefault="002D4AF1">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Suspension of Performance</w:t>
      </w:r>
      <w:r>
        <w:tab/>
      </w:r>
      <w:r>
        <w:fldChar w:fldCharType="begin"/>
      </w:r>
      <w:r>
        <w:instrText xml:space="preserve"> PAGEREF _Toc64375690 \h </w:instrText>
      </w:r>
      <w:r>
        <w:fldChar w:fldCharType="separate"/>
      </w:r>
      <w:r>
        <w:t>32</w:t>
      </w:r>
      <w:r>
        <w:fldChar w:fldCharType="end"/>
      </w:r>
    </w:p>
    <w:p w:rsidR="002D4AF1" w:rsidRDefault="002D4AF1">
      <w:pPr>
        <w:pStyle w:val="TOC1"/>
        <w:rPr>
          <w:rFonts w:asciiTheme="minorHAnsi" w:eastAsiaTheme="minorEastAsia" w:hAnsiTheme="minorHAnsi" w:cstheme="minorBidi"/>
          <w:caps w:val="0"/>
          <w:sz w:val="22"/>
          <w:szCs w:val="22"/>
        </w:rPr>
      </w:pPr>
      <w:r>
        <w:t>ARTICLE SIX:</w:t>
      </w:r>
      <w:r>
        <w:rPr>
          <w:rFonts w:asciiTheme="minorHAnsi" w:eastAsiaTheme="minorEastAsia" w:hAnsiTheme="minorHAnsi" w:cstheme="minorBidi"/>
          <w:caps w:val="0"/>
          <w:sz w:val="22"/>
          <w:szCs w:val="22"/>
        </w:rPr>
        <w:tab/>
      </w:r>
      <w:r>
        <w:t>PAYMENT AND NETTING</w:t>
      </w:r>
      <w:r>
        <w:tab/>
      </w:r>
      <w:r>
        <w:fldChar w:fldCharType="begin"/>
      </w:r>
      <w:r>
        <w:instrText xml:space="preserve"> PAGEREF _Toc64375691 \h </w:instrText>
      </w:r>
      <w:r>
        <w:fldChar w:fldCharType="separate"/>
      </w:r>
      <w:r>
        <w:t>32</w:t>
      </w:r>
      <w:r>
        <w:fldChar w:fldCharType="end"/>
      </w:r>
    </w:p>
    <w:p w:rsidR="002D4AF1" w:rsidRDefault="002D4AF1">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Billing Period</w:t>
      </w:r>
      <w:r>
        <w:tab/>
      </w:r>
      <w:r>
        <w:fldChar w:fldCharType="begin"/>
      </w:r>
      <w:r>
        <w:instrText xml:space="preserve"> PAGEREF _Toc64375692 \h </w:instrText>
      </w:r>
      <w:r>
        <w:fldChar w:fldCharType="separate"/>
      </w:r>
      <w:r>
        <w:t>32</w:t>
      </w:r>
      <w:r>
        <w:fldChar w:fldCharType="end"/>
      </w:r>
    </w:p>
    <w:p w:rsidR="002D4AF1" w:rsidRDefault="002D4AF1">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Timeliness of Payment</w:t>
      </w:r>
      <w:r>
        <w:tab/>
      </w:r>
      <w:r>
        <w:fldChar w:fldCharType="begin"/>
      </w:r>
      <w:r>
        <w:instrText xml:space="preserve"> PAGEREF _Toc64375693 \h </w:instrText>
      </w:r>
      <w:r>
        <w:fldChar w:fldCharType="separate"/>
      </w:r>
      <w:r>
        <w:t>32</w:t>
      </w:r>
      <w:r>
        <w:fldChar w:fldCharType="end"/>
      </w:r>
    </w:p>
    <w:p w:rsidR="002D4AF1" w:rsidRDefault="002D4AF1">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Disputes and Adjustments of Invoices</w:t>
      </w:r>
      <w:r>
        <w:tab/>
      </w:r>
      <w:r>
        <w:fldChar w:fldCharType="begin"/>
      </w:r>
      <w:r>
        <w:instrText xml:space="preserve"> PAGEREF _Toc64375694 \h </w:instrText>
      </w:r>
      <w:r>
        <w:fldChar w:fldCharType="separate"/>
      </w:r>
      <w:r>
        <w:t>33</w:t>
      </w:r>
      <w:r>
        <w:fldChar w:fldCharType="end"/>
      </w:r>
    </w:p>
    <w:p w:rsidR="002D4AF1" w:rsidRDefault="002D4AF1">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Netting of Payments</w:t>
      </w:r>
      <w:r>
        <w:tab/>
      </w:r>
      <w:r>
        <w:fldChar w:fldCharType="begin"/>
      </w:r>
      <w:r>
        <w:instrText xml:space="preserve"> PAGEREF _Toc64375695 \h </w:instrText>
      </w:r>
      <w:r>
        <w:fldChar w:fldCharType="separate"/>
      </w:r>
      <w:r>
        <w:t>33</w:t>
      </w:r>
      <w:r>
        <w:fldChar w:fldCharType="end"/>
      </w:r>
    </w:p>
    <w:p w:rsidR="002D4AF1" w:rsidRDefault="002D4AF1">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Payment Obligation Absent Netting</w:t>
      </w:r>
      <w:r>
        <w:tab/>
      </w:r>
      <w:r>
        <w:fldChar w:fldCharType="begin"/>
      </w:r>
      <w:r>
        <w:instrText xml:space="preserve"> PAGEREF _Toc64375696 \h </w:instrText>
      </w:r>
      <w:r>
        <w:fldChar w:fldCharType="separate"/>
      </w:r>
      <w:r>
        <w:t>33</w:t>
      </w:r>
      <w:r>
        <w:fldChar w:fldCharType="end"/>
      </w:r>
    </w:p>
    <w:p w:rsidR="002D4AF1" w:rsidRDefault="002D4AF1">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Security</w:t>
      </w:r>
      <w:r>
        <w:tab/>
      </w:r>
      <w:r>
        <w:fldChar w:fldCharType="begin"/>
      </w:r>
      <w:r>
        <w:instrText xml:space="preserve"> PAGEREF _Toc64375697 \h </w:instrText>
      </w:r>
      <w:r>
        <w:fldChar w:fldCharType="separate"/>
      </w:r>
      <w:r>
        <w:t>33</w:t>
      </w:r>
      <w:r>
        <w:fldChar w:fldCharType="end"/>
      </w:r>
    </w:p>
    <w:p w:rsidR="002D4AF1" w:rsidRDefault="002D4AF1">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Payment for Options</w:t>
      </w:r>
      <w:r>
        <w:tab/>
      </w:r>
      <w:r>
        <w:fldChar w:fldCharType="begin"/>
      </w:r>
      <w:r>
        <w:instrText xml:space="preserve"> PAGEREF _Toc64375698 \h </w:instrText>
      </w:r>
      <w:r>
        <w:fldChar w:fldCharType="separate"/>
      </w:r>
      <w:r>
        <w:t>33</w:t>
      </w:r>
      <w:r>
        <w:fldChar w:fldCharType="end"/>
      </w:r>
    </w:p>
    <w:p w:rsidR="002D4AF1" w:rsidRDefault="002D4AF1">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Transaction Netting</w:t>
      </w:r>
      <w:r>
        <w:tab/>
      </w:r>
      <w:r>
        <w:fldChar w:fldCharType="begin"/>
      </w:r>
      <w:r>
        <w:instrText xml:space="preserve"> PAGEREF _Toc64375699 \h </w:instrText>
      </w:r>
      <w:r>
        <w:fldChar w:fldCharType="separate"/>
      </w:r>
      <w:r>
        <w:t>33</w:t>
      </w:r>
      <w:r>
        <w:fldChar w:fldCharType="end"/>
      </w:r>
    </w:p>
    <w:p w:rsidR="002D4AF1" w:rsidRDefault="002D4AF1">
      <w:pPr>
        <w:pStyle w:val="TOC1"/>
        <w:rPr>
          <w:rFonts w:asciiTheme="minorHAnsi" w:eastAsiaTheme="minorEastAsia" w:hAnsiTheme="minorHAnsi" w:cstheme="minorBidi"/>
          <w:caps w:val="0"/>
          <w:sz w:val="22"/>
          <w:szCs w:val="22"/>
        </w:rPr>
      </w:pPr>
      <w:r>
        <w:lastRenderedPageBreak/>
        <w:t>ARTICLE SEVEN:</w:t>
      </w:r>
      <w:r>
        <w:rPr>
          <w:rFonts w:asciiTheme="minorHAnsi" w:eastAsiaTheme="minorEastAsia" w:hAnsiTheme="minorHAnsi" w:cstheme="minorBidi"/>
          <w:caps w:val="0"/>
          <w:sz w:val="22"/>
          <w:szCs w:val="22"/>
        </w:rPr>
        <w:tab/>
      </w:r>
      <w:r>
        <w:t>LIMITATIONS</w:t>
      </w:r>
      <w:r>
        <w:tab/>
      </w:r>
      <w:r>
        <w:fldChar w:fldCharType="begin"/>
      </w:r>
      <w:r>
        <w:instrText xml:space="preserve"> PAGEREF _Toc64375700 \h </w:instrText>
      </w:r>
      <w:r>
        <w:fldChar w:fldCharType="separate"/>
      </w:r>
      <w:r>
        <w:t>34</w:t>
      </w:r>
      <w:r>
        <w:fldChar w:fldCharType="end"/>
      </w:r>
    </w:p>
    <w:p w:rsidR="002D4AF1" w:rsidRDefault="002D4AF1">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Limitation of Remedies, Liability and Damages</w:t>
      </w:r>
      <w:r>
        <w:tab/>
      </w:r>
      <w:r>
        <w:fldChar w:fldCharType="begin"/>
      </w:r>
      <w:r>
        <w:instrText xml:space="preserve"> PAGEREF _Toc64375701 \h </w:instrText>
      </w:r>
      <w:r>
        <w:fldChar w:fldCharType="separate"/>
      </w:r>
      <w:r>
        <w:t>34</w:t>
      </w:r>
      <w:r>
        <w:fldChar w:fldCharType="end"/>
      </w:r>
    </w:p>
    <w:p w:rsidR="002D4AF1" w:rsidRDefault="002D4AF1">
      <w:pPr>
        <w:pStyle w:val="TOC1"/>
        <w:rPr>
          <w:rFonts w:asciiTheme="minorHAnsi" w:eastAsiaTheme="minorEastAsia" w:hAnsiTheme="minorHAnsi" w:cstheme="minorBidi"/>
          <w:caps w:val="0"/>
          <w:sz w:val="22"/>
          <w:szCs w:val="22"/>
        </w:rPr>
      </w:pPr>
      <w:r>
        <w:t>ARTICLE EIGHT:</w:t>
      </w:r>
      <w:r>
        <w:rPr>
          <w:rFonts w:asciiTheme="minorHAnsi" w:eastAsiaTheme="minorEastAsia" w:hAnsiTheme="minorHAnsi" w:cstheme="minorBidi"/>
          <w:caps w:val="0"/>
          <w:sz w:val="22"/>
          <w:szCs w:val="22"/>
        </w:rPr>
        <w:tab/>
      </w:r>
      <w:r>
        <w:t>CREDIT AND COLLATERAL REQUIREMENTS</w:t>
      </w:r>
      <w:r>
        <w:tab/>
      </w:r>
      <w:r>
        <w:fldChar w:fldCharType="begin"/>
      </w:r>
      <w:r>
        <w:instrText xml:space="preserve"> PAGEREF _Toc64375702 \h </w:instrText>
      </w:r>
      <w:r>
        <w:fldChar w:fldCharType="separate"/>
      </w:r>
      <w:r>
        <w:t>35</w:t>
      </w:r>
      <w:r>
        <w:fldChar w:fldCharType="end"/>
      </w:r>
    </w:p>
    <w:p w:rsidR="002D4AF1" w:rsidRDefault="002D4AF1">
      <w:pPr>
        <w:pStyle w:val="TOC2"/>
        <w:rPr>
          <w:rFonts w:asciiTheme="minorHAnsi" w:eastAsiaTheme="minorEastAsia" w:hAnsiTheme="minorHAnsi" w:cstheme="minorBidi"/>
          <w:sz w:val="22"/>
          <w:szCs w:val="22"/>
        </w:rPr>
      </w:pPr>
      <w:r>
        <w:t>8.1</w:t>
      </w:r>
      <w:r>
        <w:rPr>
          <w:rFonts w:asciiTheme="minorHAnsi" w:eastAsiaTheme="minorEastAsia" w:hAnsiTheme="minorHAnsi" w:cstheme="minorBidi"/>
          <w:sz w:val="22"/>
          <w:szCs w:val="22"/>
        </w:rPr>
        <w:tab/>
      </w:r>
      <w:r>
        <w:t>Party A Credit Protection</w:t>
      </w:r>
      <w:r>
        <w:tab/>
      </w:r>
      <w:r>
        <w:fldChar w:fldCharType="begin"/>
      </w:r>
      <w:r>
        <w:instrText xml:space="preserve"> PAGEREF _Toc64375703 \h </w:instrText>
      </w:r>
      <w:r>
        <w:fldChar w:fldCharType="separate"/>
      </w:r>
      <w:r>
        <w:t>35</w:t>
      </w:r>
      <w:r>
        <w:fldChar w:fldCharType="end"/>
      </w:r>
    </w:p>
    <w:p w:rsidR="002D4AF1" w:rsidRDefault="002D4AF1">
      <w:pPr>
        <w:pStyle w:val="TOC2"/>
        <w:rPr>
          <w:rFonts w:asciiTheme="minorHAnsi" w:eastAsiaTheme="minorEastAsia" w:hAnsiTheme="minorHAnsi" w:cstheme="minorBidi"/>
          <w:sz w:val="22"/>
          <w:szCs w:val="22"/>
        </w:rPr>
      </w:pPr>
      <w:r>
        <w:t>8.2</w:t>
      </w:r>
      <w:r>
        <w:rPr>
          <w:rFonts w:asciiTheme="minorHAnsi" w:eastAsiaTheme="minorEastAsia" w:hAnsiTheme="minorHAnsi" w:cstheme="minorBidi"/>
          <w:sz w:val="22"/>
          <w:szCs w:val="22"/>
        </w:rPr>
        <w:tab/>
      </w:r>
      <w:r>
        <w:t>Party B Credit Protection</w:t>
      </w:r>
      <w:r>
        <w:tab/>
      </w:r>
      <w:r>
        <w:fldChar w:fldCharType="begin"/>
      </w:r>
      <w:r>
        <w:instrText xml:space="preserve"> PAGEREF _Toc64375704 \h </w:instrText>
      </w:r>
      <w:r>
        <w:fldChar w:fldCharType="separate"/>
      </w:r>
      <w:r>
        <w:t>36</w:t>
      </w:r>
      <w:r>
        <w:fldChar w:fldCharType="end"/>
      </w:r>
    </w:p>
    <w:p w:rsidR="002D4AF1" w:rsidRDefault="002D4AF1">
      <w:pPr>
        <w:pStyle w:val="TOC2"/>
        <w:rPr>
          <w:rFonts w:asciiTheme="minorHAnsi" w:eastAsiaTheme="minorEastAsia" w:hAnsiTheme="minorHAnsi" w:cstheme="minorBidi"/>
          <w:sz w:val="22"/>
          <w:szCs w:val="22"/>
        </w:rPr>
      </w:pPr>
      <w:r>
        <w:t>8.3</w:t>
      </w:r>
      <w:r>
        <w:rPr>
          <w:rFonts w:asciiTheme="minorHAnsi" w:eastAsiaTheme="minorEastAsia" w:hAnsiTheme="minorHAnsi" w:cstheme="minorBidi"/>
          <w:sz w:val="22"/>
          <w:szCs w:val="22"/>
        </w:rPr>
        <w:tab/>
      </w:r>
      <w:r>
        <w:t>Grant of Security Interest/Remedies</w:t>
      </w:r>
      <w:r>
        <w:tab/>
      </w:r>
      <w:r>
        <w:fldChar w:fldCharType="begin"/>
      </w:r>
      <w:r>
        <w:instrText xml:space="preserve"> PAGEREF _Toc64375705 \h </w:instrText>
      </w:r>
      <w:r>
        <w:fldChar w:fldCharType="separate"/>
      </w:r>
      <w:r>
        <w:t>38</w:t>
      </w:r>
      <w:r>
        <w:fldChar w:fldCharType="end"/>
      </w:r>
    </w:p>
    <w:p w:rsidR="002D4AF1" w:rsidRDefault="002D4AF1">
      <w:pPr>
        <w:pStyle w:val="TOC1"/>
        <w:rPr>
          <w:rFonts w:asciiTheme="minorHAnsi" w:eastAsiaTheme="minorEastAsia" w:hAnsiTheme="minorHAnsi" w:cstheme="minorBidi"/>
          <w:caps w:val="0"/>
          <w:sz w:val="22"/>
          <w:szCs w:val="22"/>
        </w:rPr>
      </w:pPr>
      <w:r>
        <w:t>ARTICLE NINE:</w:t>
      </w:r>
      <w:r>
        <w:rPr>
          <w:rFonts w:asciiTheme="minorHAnsi" w:eastAsiaTheme="minorEastAsia" w:hAnsiTheme="minorHAnsi" w:cstheme="minorBidi"/>
          <w:caps w:val="0"/>
          <w:sz w:val="22"/>
          <w:szCs w:val="22"/>
        </w:rPr>
        <w:tab/>
      </w:r>
      <w:r>
        <w:t>GOVERNMENTAL CHARGES</w:t>
      </w:r>
      <w:r>
        <w:tab/>
      </w:r>
      <w:r>
        <w:fldChar w:fldCharType="begin"/>
      </w:r>
      <w:r>
        <w:instrText xml:space="preserve"> PAGEREF _Toc64375706 \h </w:instrText>
      </w:r>
      <w:r>
        <w:fldChar w:fldCharType="separate"/>
      </w:r>
      <w:r>
        <w:t>38</w:t>
      </w:r>
      <w:r>
        <w:fldChar w:fldCharType="end"/>
      </w:r>
    </w:p>
    <w:p w:rsidR="002D4AF1" w:rsidRDefault="002D4AF1">
      <w:pPr>
        <w:pStyle w:val="TOC2"/>
        <w:rPr>
          <w:rFonts w:asciiTheme="minorHAnsi" w:eastAsiaTheme="minorEastAsia" w:hAnsiTheme="minorHAnsi" w:cstheme="minorBidi"/>
          <w:sz w:val="22"/>
          <w:szCs w:val="22"/>
        </w:rPr>
      </w:pPr>
      <w:r>
        <w:t>9.1</w:t>
      </w:r>
      <w:r>
        <w:rPr>
          <w:rFonts w:asciiTheme="minorHAnsi" w:eastAsiaTheme="minorEastAsia" w:hAnsiTheme="minorHAnsi" w:cstheme="minorBidi"/>
          <w:sz w:val="22"/>
          <w:szCs w:val="22"/>
        </w:rPr>
        <w:tab/>
      </w:r>
      <w:r>
        <w:t>Cooperation</w:t>
      </w:r>
      <w:r>
        <w:tab/>
      </w:r>
      <w:r>
        <w:fldChar w:fldCharType="begin"/>
      </w:r>
      <w:r>
        <w:instrText xml:space="preserve"> PAGEREF _Toc64375707 \h </w:instrText>
      </w:r>
      <w:r>
        <w:fldChar w:fldCharType="separate"/>
      </w:r>
      <w:r>
        <w:t>38</w:t>
      </w:r>
      <w:r>
        <w:fldChar w:fldCharType="end"/>
      </w:r>
    </w:p>
    <w:p w:rsidR="002D4AF1" w:rsidRDefault="002D4AF1">
      <w:pPr>
        <w:pStyle w:val="TOC2"/>
        <w:rPr>
          <w:rFonts w:asciiTheme="minorHAnsi" w:eastAsiaTheme="minorEastAsia" w:hAnsiTheme="minorHAnsi" w:cstheme="minorBidi"/>
          <w:sz w:val="22"/>
          <w:szCs w:val="22"/>
        </w:rPr>
      </w:pPr>
      <w:r>
        <w:t>9.2</w:t>
      </w:r>
      <w:r>
        <w:rPr>
          <w:rFonts w:asciiTheme="minorHAnsi" w:eastAsiaTheme="minorEastAsia" w:hAnsiTheme="minorHAnsi" w:cstheme="minorBidi"/>
          <w:sz w:val="22"/>
          <w:szCs w:val="22"/>
        </w:rPr>
        <w:tab/>
      </w:r>
      <w:r>
        <w:t>Governmental Charges</w:t>
      </w:r>
      <w:r>
        <w:tab/>
      </w:r>
      <w:r>
        <w:fldChar w:fldCharType="begin"/>
      </w:r>
      <w:r>
        <w:instrText xml:space="preserve"> PAGEREF _Toc64375708 \h </w:instrText>
      </w:r>
      <w:r>
        <w:fldChar w:fldCharType="separate"/>
      </w:r>
      <w:r>
        <w:t>38</w:t>
      </w:r>
      <w:r>
        <w:fldChar w:fldCharType="end"/>
      </w:r>
    </w:p>
    <w:p w:rsidR="002D4AF1" w:rsidRDefault="002D4AF1">
      <w:pPr>
        <w:pStyle w:val="TOC1"/>
        <w:rPr>
          <w:rFonts w:asciiTheme="minorHAnsi" w:eastAsiaTheme="minorEastAsia" w:hAnsiTheme="minorHAnsi" w:cstheme="minorBidi"/>
          <w:caps w:val="0"/>
          <w:sz w:val="22"/>
          <w:szCs w:val="22"/>
        </w:rPr>
      </w:pPr>
      <w:r>
        <w:t>ARTICLE TEN:</w:t>
      </w:r>
      <w:r>
        <w:rPr>
          <w:rFonts w:asciiTheme="minorHAnsi" w:eastAsiaTheme="minorEastAsia" w:hAnsiTheme="minorHAnsi" w:cstheme="minorBidi"/>
          <w:caps w:val="0"/>
          <w:sz w:val="22"/>
          <w:szCs w:val="22"/>
        </w:rPr>
        <w:tab/>
      </w:r>
      <w:r>
        <w:t>MISCELLANEOUS</w:t>
      </w:r>
      <w:r>
        <w:tab/>
      </w:r>
      <w:r>
        <w:fldChar w:fldCharType="begin"/>
      </w:r>
      <w:r>
        <w:instrText xml:space="preserve"> PAGEREF _Toc64375709 \h </w:instrText>
      </w:r>
      <w:r>
        <w:fldChar w:fldCharType="separate"/>
      </w:r>
      <w:r>
        <w:t>39</w:t>
      </w:r>
      <w:r>
        <w:fldChar w:fldCharType="end"/>
      </w:r>
    </w:p>
    <w:p w:rsidR="002D4AF1" w:rsidRDefault="002D4AF1">
      <w:pPr>
        <w:pStyle w:val="TOC2"/>
        <w:rPr>
          <w:rFonts w:asciiTheme="minorHAnsi" w:eastAsiaTheme="minorEastAsia" w:hAnsiTheme="minorHAnsi" w:cstheme="minorBidi"/>
          <w:sz w:val="22"/>
          <w:szCs w:val="22"/>
        </w:rPr>
      </w:pPr>
      <w:r>
        <w:t>10.1</w:t>
      </w:r>
      <w:r>
        <w:rPr>
          <w:rFonts w:asciiTheme="minorHAnsi" w:eastAsiaTheme="minorEastAsia" w:hAnsiTheme="minorHAnsi" w:cstheme="minorBidi"/>
          <w:sz w:val="22"/>
          <w:szCs w:val="22"/>
        </w:rPr>
        <w:tab/>
      </w:r>
      <w:r>
        <w:t>Term of Master Agreement</w:t>
      </w:r>
      <w:r>
        <w:tab/>
      </w:r>
      <w:r>
        <w:fldChar w:fldCharType="begin"/>
      </w:r>
      <w:r>
        <w:instrText xml:space="preserve"> PAGEREF _Toc64375710 \h </w:instrText>
      </w:r>
      <w:r>
        <w:fldChar w:fldCharType="separate"/>
      </w:r>
      <w:r>
        <w:t>39</w:t>
      </w:r>
      <w:r>
        <w:fldChar w:fldCharType="end"/>
      </w:r>
    </w:p>
    <w:p w:rsidR="002D4AF1" w:rsidRDefault="002D4AF1">
      <w:pPr>
        <w:pStyle w:val="TOC2"/>
        <w:rPr>
          <w:rFonts w:asciiTheme="minorHAnsi" w:eastAsiaTheme="minorEastAsia" w:hAnsiTheme="minorHAnsi" w:cstheme="minorBidi"/>
          <w:sz w:val="22"/>
          <w:szCs w:val="22"/>
        </w:rPr>
      </w:pPr>
      <w:r>
        <w:t>10.2</w:t>
      </w:r>
      <w:r>
        <w:rPr>
          <w:rFonts w:asciiTheme="minorHAnsi" w:eastAsiaTheme="minorEastAsia" w:hAnsiTheme="minorHAnsi" w:cstheme="minorBidi"/>
          <w:sz w:val="22"/>
          <w:szCs w:val="22"/>
        </w:rPr>
        <w:tab/>
      </w:r>
      <w:r>
        <w:t>Representations and Warranties</w:t>
      </w:r>
      <w:r>
        <w:tab/>
      </w:r>
      <w:r>
        <w:fldChar w:fldCharType="begin"/>
      </w:r>
      <w:r>
        <w:instrText xml:space="preserve"> PAGEREF _Toc64375711 \h </w:instrText>
      </w:r>
      <w:r>
        <w:fldChar w:fldCharType="separate"/>
      </w:r>
      <w:r>
        <w:t>39</w:t>
      </w:r>
      <w:r>
        <w:fldChar w:fldCharType="end"/>
      </w:r>
    </w:p>
    <w:p w:rsidR="002D4AF1" w:rsidRDefault="002D4AF1">
      <w:pPr>
        <w:pStyle w:val="TOC2"/>
        <w:rPr>
          <w:rFonts w:asciiTheme="minorHAnsi" w:eastAsiaTheme="minorEastAsia" w:hAnsiTheme="minorHAnsi" w:cstheme="minorBidi"/>
          <w:sz w:val="22"/>
          <w:szCs w:val="22"/>
        </w:rPr>
      </w:pPr>
      <w:r>
        <w:t>10.3</w:t>
      </w:r>
      <w:r>
        <w:rPr>
          <w:rFonts w:asciiTheme="minorHAnsi" w:eastAsiaTheme="minorEastAsia" w:hAnsiTheme="minorHAnsi" w:cstheme="minorBidi"/>
          <w:sz w:val="22"/>
          <w:szCs w:val="22"/>
        </w:rPr>
        <w:tab/>
      </w:r>
      <w:r>
        <w:t>Title and Risk of Loss</w:t>
      </w:r>
      <w:r>
        <w:tab/>
      </w:r>
      <w:r>
        <w:fldChar w:fldCharType="begin"/>
      </w:r>
      <w:r>
        <w:instrText xml:space="preserve"> PAGEREF _Toc64375712 \h </w:instrText>
      </w:r>
      <w:r>
        <w:fldChar w:fldCharType="separate"/>
      </w:r>
      <w:r>
        <w:t>40</w:t>
      </w:r>
      <w:r>
        <w:fldChar w:fldCharType="end"/>
      </w:r>
    </w:p>
    <w:p w:rsidR="002D4AF1" w:rsidRDefault="002D4AF1">
      <w:pPr>
        <w:pStyle w:val="TOC2"/>
        <w:rPr>
          <w:rFonts w:asciiTheme="minorHAnsi" w:eastAsiaTheme="minorEastAsia" w:hAnsiTheme="minorHAnsi" w:cstheme="minorBidi"/>
          <w:sz w:val="22"/>
          <w:szCs w:val="22"/>
        </w:rPr>
      </w:pPr>
      <w:r>
        <w:t>10.4</w:t>
      </w:r>
      <w:r>
        <w:rPr>
          <w:rFonts w:asciiTheme="minorHAnsi" w:eastAsiaTheme="minorEastAsia" w:hAnsiTheme="minorHAnsi" w:cstheme="minorBidi"/>
          <w:sz w:val="22"/>
          <w:szCs w:val="22"/>
        </w:rPr>
        <w:tab/>
      </w:r>
      <w:r>
        <w:t>Indemnity</w:t>
      </w:r>
      <w:r>
        <w:tab/>
      </w:r>
      <w:r>
        <w:fldChar w:fldCharType="begin"/>
      </w:r>
      <w:r>
        <w:instrText xml:space="preserve"> PAGEREF _Toc64375713 \h </w:instrText>
      </w:r>
      <w:r>
        <w:fldChar w:fldCharType="separate"/>
      </w:r>
      <w:r>
        <w:t>41</w:t>
      </w:r>
      <w:r>
        <w:fldChar w:fldCharType="end"/>
      </w:r>
    </w:p>
    <w:p w:rsidR="002D4AF1" w:rsidRDefault="002D4AF1">
      <w:pPr>
        <w:pStyle w:val="TOC2"/>
        <w:rPr>
          <w:rFonts w:asciiTheme="minorHAnsi" w:eastAsiaTheme="minorEastAsia" w:hAnsiTheme="minorHAnsi" w:cstheme="minorBidi"/>
          <w:sz w:val="22"/>
          <w:szCs w:val="22"/>
        </w:rPr>
      </w:pPr>
      <w:r>
        <w:t>10.5</w:t>
      </w:r>
      <w:r>
        <w:rPr>
          <w:rFonts w:asciiTheme="minorHAnsi" w:eastAsiaTheme="minorEastAsia" w:hAnsiTheme="minorHAnsi" w:cstheme="minorBidi"/>
          <w:sz w:val="22"/>
          <w:szCs w:val="22"/>
        </w:rPr>
        <w:tab/>
      </w:r>
      <w:r>
        <w:t>Assignment</w:t>
      </w:r>
      <w:r>
        <w:tab/>
      </w:r>
      <w:r>
        <w:fldChar w:fldCharType="begin"/>
      </w:r>
      <w:r>
        <w:instrText xml:space="preserve"> PAGEREF _Toc64375714 \h </w:instrText>
      </w:r>
      <w:r>
        <w:fldChar w:fldCharType="separate"/>
      </w:r>
      <w:r>
        <w:t>41</w:t>
      </w:r>
      <w:r>
        <w:fldChar w:fldCharType="end"/>
      </w:r>
    </w:p>
    <w:p w:rsidR="002D4AF1" w:rsidRDefault="002D4AF1">
      <w:pPr>
        <w:pStyle w:val="TOC2"/>
        <w:rPr>
          <w:rFonts w:asciiTheme="minorHAnsi" w:eastAsiaTheme="minorEastAsia" w:hAnsiTheme="minorHAnsi" w:cstheme="minorBidi"/>
          <w:sz w:val="22"/>
          <w:szCs w:val="22"/>
        </w:rPr>
      </w:pPr>
      <w:r>
        <w:t>10.6</w:t>
      </w:r>
      <w:r>
        <w:rPr>
          <w:rFonts w:asciiTheme="minorHAnsi" w:eastAsiaTheme="minorEastAsia" w:hAnsiTheme="minorHAnsi" w:cstheme="minorBidi"/>
          <w:sz w:val="22"/>
          <w:szCs w:val="22"/>
        </w:rPr>
        <w:tab/>
      </w:r>
      <w:r>
        <w:t>Governing Law</w:t>
      </w:r>
      <w:r>
        <w:tab/>
      </w:r>
      <w:r>
        <w:fldChar w:fldCharType="begin"/>
      </w:r>
      <w:r>
        <w:instrText xml:space="preserve"> PAGEREF _Toc64375715 \h </w:instrText>
      </w:r>
      <w:r>
        <w:fldChar w:fldCharType="separate"/>
      </w:r>
      <w:r>
        <w:t>41</w:t>
      </w:r>
      <w:r>
        <w:fldChar w:fldCharType="end"/>
      </w:r>
    </w:p>
    <w:p w:rsidR="002D4AF1" w:rsidRDefault="002D4AF1">
      <w:pPr>
        <w:pStyle w:val="TOC2"/>
        <w:rPr>
          <w:rFonts w:asciiTheme="minorHAnsi" w:eastAsiaTheme="minorEastAsia" w:hAnsiTheme="minorHAnsi" w:cstheme="minorBidi"/>
          <w:sz w:val="22"/>
          <w:szCs w:val="22"/>
        </w:rPr>
      </w:pPr>
      <w:r>
        <w:t>10.7</w:t>
      </w:r>
      <w:r>
        <w:rPr>
          <w:rFonts w:asciiTheme="minorHAnsi" w:eastAsiaTheme="minorEastAsia" w:hAnsiTheme="minorHAnsi" w:cstheme="minorBidi"/>
          <w:sz w:val="22"/>
          <w:szCs w:val="22"/>
        </w:rPr>
        <w:tab/>
      </w:r>
      <w:r>
        <w:t>Notices</w:t>
      </w:r>
      <w:r>
        <w:tab/>
      </w:r>
      <w:r>
        <w:fldChar w:fldCharType="begin"/>
      </w:r>
      <w:r>
        <w:instrText xml:space="preserve"> PAGEREF _Toc64375716 \h </w:instrText>
      </w:r>
      <w:r>
        <w:fldChar w:fldCharType="separate"/>
      </w:r>
      <w:r>
        <w:t>41</w:t>
      </w:r>
      <w:r>
        <w:fldChar w:fldCharType="end"/>
      </w:r>
    </w:p>
    <w:p w:rsidR="002D4AF1" w:rsidRDefault="002D4AF1">
      <w:pPr>
        <w:pStyle w:val="TOC2"/>
        <w:rPr>
          <w:rFonts w:asciiTheme="minorHAnsi" w:eastAsiaTheme="minorEastAsia" w:hAnsiTheme="minorHAnsi" w:cstheme="minorBidi"/>
          <w:sz w:val="22"/>
          <w:szCs w:val="22"/>
        </w:rPr>
      </w:pPr>
      <w:r>
        <w:t>10.8</w:t>
      </w:r>
      <w:r>
        <w:rPr>
          <w:rFonts w:asciiTheme="minorHAnsi" w:eastAsiaTheme="minorEastAsia" w:hAnsiTheme="minorHAnsi" w:cstheme="minorBidi"/>
          <w:sz w:val="22"/>
          <w:szCs w:val="22"/>
        </w:rPr>
        <w:tab/>
      </w:r>
      <w:r>
        <w:t>General</w:t>
      </w:r>
      <w:r>
        <w:tab/>
      </w:r>
      <w:r>
        <w:fldChar w:fldCharType="begin"/>
      </w:r>
      <w:r>
        <w:instrText xml:space="preserve"> PAGEREF _Toc64375717 \h </w:instrText>
      </w:r>
      <w:r>
        <w:fldChar w:fldCharType="separate"/>
      </w:r>
      <w:r>
        <w:t>41</w:t>
      </w:r>
      <w:r>
        <w:fldChar w:fldCharType="end"/>
      </w:r>
    </w:p>
    <w:p w:rsidR="002D4AF1" w:rsidRDefault="002D4AF1">
      <w:pPr>
        <w:pStyle w:val="TOC2"/>
        <w:rPr>
          <w:rFonts w:asciiTheme="minorHAnsi" w:eastAsiaTheme="minorEastAsia" w:hAnsiTheme="minorHAnsi" w:cstheme="minorBidi"/>
          <w:sz w:val="22"/>
          <w:szCs w:val="22"/>
        </w:rPr>
      </w:pPr>
      <w:r>
        <w:t>10.9</w:t>
      </w:r>
      <w:r>
        <w:rPr>
          <w:rFonts w:asciiTheme="minorHAnsi" w:eastAsiaTheme="minorEastAsia" w:hAnsiTheme="minorHAnsi" w:cstheme="minorBidi"/>
          <w:sz w:val="22"/>
          <w:szCs w:val="22"/>
        </w:rPr>
        <w:tab/>
      </w:r>
      <w:r>
        <w:t>Audit</w:t>
      </w:r>
      <w:r>
        <w:tab/>
      </w:r>
      <w:r>
        <w:fldChar w:fldCharType="begin"/>
      </w:r>
      <w:r>
        <w:instrText xml:space="preserve"> PAGEREF _Toc64375718 \h </w:instrText>
      </w:r>
      <w:r>
        <w:fldChar w:fldCharType="separate"/>
      </w:r>
      <w:r>
        <w:t>42</w:t>
      </w:r>
      <w:r>
        <w:fldChar w:fldCharType="end"/>
      </w:r>
    </w:p>
    <w:p w:rsidR="002D4AF1" w:rsidRDefault="002D4AF1">
      <w:pPr>
        <w:pStyle w:val="TOC2"/>
        <w:rPr>
          <w:rFonts w:asciiTheme="minorHAnsi" w:eastAsiaTheme="minorEastAsia" w:hAnsiTheme="minorHAnsi" w:cstheme="minorBidi"/>
          <w:sz w:val="22"/>
          <w:szCs w:val="22"/>
        </w:rPr>
      </w:pPr>
      <w:r>
        <w:t>10.10</w:t>
      </w:r>
      <w:r>
        <w:rPr>
          <w:rFonts w:asciiTheme="minorHAnsi" w:eastAsiaTheme="minorEastAsia" w:hAnsiTheme="minorHAnsi" w:cstheme="minorBidi"/>
          <w:sz w:val="22"/>
          <w:szCs w:val="22"/>
        </w:rPr>
        <w:tab/>
      </w:r>
      <w:r>
        <w:t>Forward Contract</w:t>
      </w:r>
      <w:r>
        <w:tab/>
      </w:r>
      <w:r>
        <w:fldChar w:fldCharType="begin"/>
      </w:r>
      <w:r>
        <w:instrText xml:space="preserve"> PAGEREF _Toc64375719 \h </w:instrText>
      </w:r>
      <w:r>
        <w:fldChar w:fldCharType="separate"/>
      </w:r>
      <w:r>
        <w:t>42</w:t>
      </w:r>
      <w:r>
        <w:fldChar w:fldCharType="end"/>
      </w:r>
    </w:p>
    <w:p w:rsidR="002D4AF1" w:rsidRDefault="002D4AF1">
      <w:pPr>
        <w:pStyle w:val="TOC2"/>
        <w:rPr>
          <w:rFonts w:asciiTheme="minorHAnsi" w:eastAsiaTheme="minorEastAsia" w:hAnsiTheme="minorHAnsi" w:cstheme="minorBidi"/>
          <w:sz w:val="22"/>
          <w:szCs w:val="22"/>
        </w:rPr>
      </w:pPr>
      <w:r>
        <w:t>10.11</w:t>
      </w:r>
      <w:r>
        <w:rPr>
          <w:rFonts w:asciiTheme="minorHAnsi" w:eastAsiaTheme="minorEastAsia" w:hAnsiTheme="minorHAnsi" w:cstheme="minorBidi"/>
          <w:sz w:val="22"/>
          <w:szCs w:val="22"/>
        </w:rPr>
        <w:tab/>
      </w:r>
      <w:r>
        <w:t>Confidentiality</w:t>
      </w:r>
      <w:r>
        <w:tab/>
      </w:r>
      <w:r>
        <w:fldChar w:fldCharType="begin"/>
      </w:r>
      <w:r>
        <w:instrText xml:space="preserve"> PAGEREF _Toc64375720 \h </w:instrText>
      </w:r>
      <w:r>
        <w:fldChar w:fldCharType="separate"/>
      </w:r>
      <w:r>
        <w:t>42</w:t>
      </w:r>
      <w:r>
        <w:fldChar w:fldCharType="end"/>
      </w:r>
    </w:p>
    <w:p w:rsidR="002D4AF1" w:rsidRDefault="002D4AF1">
      <w:pPr>
        <w:pStyle w:val="TOC1"/>
        <w:rPr>
          <w:rFonts w:asciiTheme="minorHAnsi" w:eastAsiaTheme="minorEastAsia" w:hAnsiTheme="minorHAnsi" w:cstheme="minorBidi"/>
          <w:caps w:val="0"/>
          <w:sz w:val="22"/>
          <w:szCs w:val="22"/>
        </w:rPr>
      </w:pPr>
      <w:r>
        <w:t>SCHEDULE M:  GOVERNMENTAL ENTITY OR PUBLIC POWER SYSTEMS</w:t>
      </w:r>
      <w:r>
        <w:tab/>
      </w:r>
      <w:r>
        <w:fldChar w:fldCharType="begin"/>
      </w:r>
      <w:r>
        <w:instrText xml:space="preserve"> PAGEREF _Toc64375721 \h </w:instrText>
      </w:r>
      <w:r>
        <w:fldChar w:fldCharType="separate"/>
      </w:r>
      <w:r>
        <w:t>43</w:t>
      </w:r>
      <w:r>
        <w:fldChar w:fldCharType="end"/>
      </w:r>
    </w:p>
    <w:p w:rsidR="002D4AF1" w:rsidRDefault="002D4AF1">
      <w:pPr>
        <w:pStyle w:val="TOC1"/>
        <w:rPr>
          <w:rFonts w:asciiTheme="minorHAnsi" w:eastAsiaTheme="minorEastAsia" w:hAnsiTheme="minorHAnsi" w:cstheme="minorBidi"/>
          <w:caps w:val="0"/>
          <w:sz w:val="22"/>
          <w:szCs w:val="22"/>
        </w:rPr>
      </w:pPr>
      <w:r>
        <w:t>SCHEDULE P:  PRODUCTS AND RELATED DEFINITIONS</w:t>
      </w:r>
      <w:r>
        <w:tab/>
      </w:r>
      <w:r>
        <w:fldChar w:fldCharType="begin"/>
      </w:r>
      <w:r>
        <w:instrText xml:space="preserve"> PAGEREF _Toc64375722 \h </w:instrText>
      </w:r>
      <w:r>
        <w:fldChar w:fldCharType="separate"/>
      </w:r>
      <w:r>
        <w:t>47</w:t>
      </w:r>
      <w:r>
        <w:fldChar w:fldCharType="end"/>
      </w:r>
    </w:p>
    <w:p w:rsidR="007130CD" w:rsidRPr="003E7FFC" w:rsidRDefault="0005163E">
      <w:r w:rsidRPr="003E7FFC">
        <w:rPr>
          <w:caps/>
          <w:noProof/>
        </w:rPr>
        <w:fldChar w:fldCharType="end"/>
      </w:r>
    </w:p>
    <w:p w:rsidR="007130CD" w:rsidRPr="003E7FFC" w:rsidRDefault="007130CD"/>
    <w:p w:rsidR="007130CD" w:rsidRPr="003E7FFC" w:rsidRDefault="007130CD"/>
    <w:p w:rsidR="007130CD" w:rsidRPr="003E7FFC" w:rsidRDefault="007130CD">
      <w:pPr>
        <w:sectPr w:rsidR="007130CD" w:rsidRPr="003E7FFC">
          <w:footerReference w:type="default" r:id="rId14"/>
          <w:footerReference w:type="first" r:id="rId15"/>
          <w:pgSz w:w="12240" w:h="15840" w:code="1"/>
          <w:pgMar w:top="1440" w:right="1440" w:bottom="1440" w:left="1440" w:header="720" w:footer="576" w:gutter="0"/>
          <w:pgNumType w:fmt="lowerRoman" w:start="1"/>
          <w:cols w:space="720"/>
        </w:sectPr>
      </w:pPr>
    </w:p>
    <w:p w:rsidR="007130CD" w:rsidRPr="003E7FFC" w:rsidRDefault="007130CD">
      <w:pPr>
        <w:pStyle w:val="Title"/>
      </w:pPr>
      <w:r w:rsidRPr="003E7FFC">
        <w:lastRenderedPageBreak/>
        <w:t>MASTER POWER PURCHASE AND SALE AGREEMENT</w:t>
      </w:r>
    </w:p>
    <w:p w:rsidR="007130CD" w:rsidRPr="003E7FFC" w:rsidRDefault="002D4AF1">
      <w:pPr>
        <w:pStyle w:val="Title"/>
        <w:rPr>
          <w:u w:val="single"/>
        </w:rPr>
      </w:pPr>
      <w:r w:rsidRPr="003E7FFC">
        <w:rPr>
          <w:u w:val="single"/>
        </w:rPr>
        <w:t>COVER SHEET</w:t>
      </w:r>
      <w:r w:rsidRPr="003E7FFC">
        <w:rPr>
          <w:u w:val="single"/>
        </w:rPr>
        <w:fldChar w:fldCharType="begin"/>
      </w:r>
      <w:r w:rsidRPr="003E7FFC">
        <w:rPr>
          <w:u w:val="single"/>
        </w:rPr>
        <w:instrText xml:space="preserve"> TC </w:instrText>
      </w:r>
      <w:r>
        <w:rPr>
          <w:u w:val="single"/>
        </w:rPr>
        <w:instrText>“</w:instrText>
      </w:r>
      <w:bookmarkStart w:id="1" w:name="_Toc2603577"/>
      <w:bookmarkStart w:id="2" w:name="_Toc64375667"/>
      <w:r w:rsidRPr="003E7FFC">
        <w:rPr>
          <w:u w:val="single"/>
        </w:rPr>
        <w:instrText>COVER SHEET</w:instrText>
      </w:r>
      <w:bookmarkEnd w:id="1"/>
      <w:bookmarkEnd w:id="2"/>
      <w:r>
        <w:rPr>
          <w:u w:val="single"/>
        </w:rPr>
        <w:instrText>”</w:instrText>
      </w:r>
      <w:r w:rsidRPr="003E7FFC">
        <w:rPr>
          <w:u w:val="single"/>
        </w:rPr>
        <w:instrText xml:space="preserve"> \f C \l </w:instrText>
      </w:r>
      <w:r>
        <w:rPr>
          <w:u w:val="single"/>
        </w:rPr>
        <w:instrText>“</w:instrText>
      </w:r>
      <w:r w:rsidRPr="003E7FFC">
        <w:rPr>
          <w:u w:val="single"/>
        </w:rPr>
        <w:instrText>1</w:instrText>
      </w:r>
      <w:r>
        <w:rPr>
          <w:u w:val="single"/>
        </w:rPr>
        <w:instrText>”</w:instrText>
      </w:r>
      <w:r w:rsidRPr="003E7FFC">
        <w:rPr>
          <w:u w:val="single"/>
        </w:rPr>
        <w:instrText xml:space="preserve"> </w:instrText>
      </w:r>
      <w:r w:rsidRPr="003E7FFC">
        <w:rPr>
          <w:u w:val="single"/>
        </w:rPr>
        <w:fldChar w:fldCharType="end"/>
      </w:r>
      <w:r>
        <w:rPr>
          <w:u w:val="single"/>
        </w:rPr>
        <w:t xml:space="preserve"> </w:t>
      </w:r>
    </w:p>
    <w:p w:rsidR="007130CD" w:rsidRPr="003E7FFC" w:rsidRDefault="007130CD">
      <w:pPr>
        <w:pStyle w:val="coverbody"/>
      </w:pPr>
      <w:r w:rsidRPr="003E7FFC">
        <w:t xml:space="preserve">This </w:t>
      </w:r>
      <w:r w:rsidRPr="003E7FFC">
        <w:rPr>
          <w:i/>
        </w:rPr>
        <w:t>Master Power Purchase and Sale Agreement</w:t>
      </w:r>
      <w:r w:rsidRPr="003E7FFC">
        <w:t xml:space="preserve"> (</w:t>
      </w:r>
      <w:r w:rsidR="00A34C9E">
        <w:t>“</w:t>
      </w:r>
      <w:r w:rsidRPr="003E7FFC">
        <w:rPr>
          <w:i/>
        </w:rPr>
        <w:t>Master Agreement</w:t>
      </w:r>
      <w:r w:rsidR="00A34C9E">
        <w:t>”</w:t>
      </w:r>
      <w:r w:rsidRPr="003E7FFC">
        <w:t xml:space="preserve">) is made as of </w:t>
      </w:r>
      <w:r w:rsidR="00F75471" w:rsidRPr="003E7FFC">
        <w:t>_________, 20__</w:t>
      </w:r>
      <w:r w:rsidR="000A3809" w:rsidRPr="003E7FFC">
        <w:t xml:space="preserve"> </w:t>
      </w:r>
      <w:r w:rsidRPr="003E7FFC">
        <w:t>(</w:t>
      </w:r>
      <w:r w:rsidR="00A34C9E">
        <w:t>“</w:t>
      </w:r>
      <w:r w:rsidRPr="003E7FFC">
        <w:t>Effective Date</w:t>
      </w:r>
      <w:r w:rsidR="00A34C9E">
        <w:t>”</w:t>
      </w:r>
      <w:r w:rsidRPr="003E7FFC">
        <w:t>)</w:t>
      </w:r>
      <w:r w:rsidR="002B35C9">
        <w:t xml:space="preserve">.  </w:t>
      </w:r>
      <w:r w:rsidRPr="003E7FFC">
        <w:t xml:space="preserve">The </w:t>
      </w:r>
      <w:r w:rsidRPr="003E7FFC">
        <w:rPr>
          <w:i/>
        </w:rPr>
        <w:t>Master Agreement</w:t>
      </w:r>
      <w:r w:rsidRPr="003E7FFC">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w:t>
      </w:r>
      <w:r w:rsidR="00A34C9E">
        <w:t>“</w:t>
      </w:r>
      <w:r w:rsidRPr="003E7FFC">
        <w:t>Agreement.</w:t>
      </w:r>
      <w:r w:rsidR="00A34C9E">
        <w:t>”</w:t>
      </w:r>
      <w:r w:rsidRPr="003E7FFC">
        <w:t xml:space="preserve">  The Parties to this </w:t>
      </w:r>
      <w:r w:rsidRPr="003E7FFC">
        <w:rPr>
          <w:i/>
        </w:rPr>
        <w:t>Master Agreement</w:t>
      </w:r>
      <w:r w:rsidRPr="003E7FFC">
        <w:t xml:space="preserve"> are the following:</w:t>
      </w:r>
    </w:p>
    <w:tbl>
      <w:tblPr>
        <w:tblW w:w="9590" w:type="dxa"/>
        <w:tblLayout w:type="fixed"/>
        <w:tblLook w:val="0000" w:firstRow="0" w:lastRow="0" w:firstColumn="0" w:lastColumn="0" w:noHBand="0" w:noVBand="0"/>
      </w:tblPr>
      <w:tblGrid>
        <w:gridCol w:w="4795"/>
        <w:gridCol w:w="4795"/>
      </w:tblGrid>
      <w:tr w:rsidR="007130CD" w:rsidRPr="003E7FFC" w:rsidTr="00BA18B7">
        <w:trPr>
          <w:cantSplit/>
        </w:trPr>
        <w:tc>
          <w:tcPr>
            <w:tcW w:w="4795" w:type="dxa"/>
          </w:tcPr>
          <w:p w:rsidR="007130CD" w:rsidRPr="003E7FFC" w:rsidRDefault="007130CD">
            <w:pPr>
              <w:tabs>
                <w:tab w:val="right" w:pos="4320"/>
              </w:tabs>
              <w:spacing w:after="160"/>
              <w:rPr>
                <w:sz w:val="20"/>
              </w:rPr>
            </w:pPr>
            <w:r w:rsidRPr="003E7FFC">
              <w:rPr>
                <w:sz w:val="20"/>
              </w:rPr>
              <w:t xml:space="preserve">Name </w:t>
            </w:r>
            <w:proofErr w:type="gramStart"/>
            <w:r w:rsidRPr="003E7FFC">
              <w:rPr>
                <w:sz w:val="20"/>
              </w:rPr>
              <w:t>( _</w:t>
            </w:r>
            <w:proofErr w:type="gramEnd"/>
            <w:r w:rsidRPr="003E7FFC">
              <w:rPr>
                <w:sz w:val="20"/>
              </w:rPr>
              <w:t xml:space="preserve">________________________ or </w:t>
            </w:r>
            <w:r w:rsidR="00A34C9E">
              <w:rPr>
                <w:sz w:val="20"/>
              </w:rPr>
              <w:t>“</w:t>
            </w:r>
            <w:r w:rsidRPr="003E7FFC">
              <w:rPr>
                <w:sz w:val="20"/>
              </w:rPr>
              <w:t>Party A</w:t>
            </w:r>
            <w:r w:rsidR="00A34C9E">
              <w:rPr>
                <w:sz w:val="20"/>
              </w:rPr>
              <w:t>”</w:t>
            </w:r>
            <w:r w:rsidRPr="003E7FFC">
              <w:rPr>
                <w:sz w:val="20"/>
              </w:rPr>
              <w:t>)</w:t>
            </w:r>
          </w:p>
        </w:tc>
        <w:tc>
          <w:tcPr>
            <w:tcW w:w="4795" w:type="dxa"/>
          </w:tcPr>
          <w:p w:rsidR="007130CD" w:rsidRPr="003E7FFC" w:rsidRDefault="007130CD">
            <w:pPr>
              <w:tabs>
                <w:tab w:val="right" w:pos="4475"/>
              </w:tabs>
              <w:spacing w:after="160"/>
              <w:ind w:left="245"/>
              <w:rPr>
                <w:sz w:val="20"/>
              </w:rPr>
            </w:pPr>
            <w:r w:rsidRPr="003E7FFC">
              <w:rPr>
                <w:sz w:val="20"/>
              </w:rPr>
              <w:t>Name (</w:t>
            </w:r>
            <w:r w:rsidR="00A34C9E">
              <w:rPr>
                <w:sz w:val="20"/>
              </w:rPr>
              <w:t>“</w:t>
            </w:r>
            <w:r w:rsidRPr="003E7FFC">
              <w:rPr>
                <w:sz w:val="20"/>
              </w:rPr>
              <w:t>Commonwealth Edison Company</w:t>
            </w:r>
            <w:r w:rsidR="00A34C9E">
              <w:rPr>
                <w:sz w:val="20"/>
              </w:rPr>
              <w:t>”</w:t>
            </w:r>
            <w:r w:rsidRPr="003E7FFC">
              <w:rPr>
                <w:sz w:val="20"/>
              </w:rPr>
              <w:t xml:space="preserve"> or </w:t>
            </w:r>
            <w:r w:rsidR="00A34C9E">
              <w:rPr>
                <w:sz w:val="20"/>
              </w:rPr>
              <w:t>“</w:t>
            </w:r>
            <w:r w:rsidRPr="003E7FFC">
              <w:rPr>
                <w:sz w:val="20"/>
              </w:rPr>
              <w:t>Counterparty</w:t>
            </w:r>
            <w:r w:rsidR="00A34C9E">
              <w:rPr>
                <w:sz w:val="20"/>
              </w:rPr>
              <w:t>”</w:t>
            </w:r>
            <w:r w:rsidRPr="003E7FFC">
              <w:rPr>
                <w:sz w:val="20"/>
              </w:rPr>
              <w:t xml:space="preserve"> or </w:t>
            </w:r>
            <w:r w:rsidR="00A34C9E">
              <w:rPr>
                <w:sz w:val="20"/>
              </w:rPr>
              <w:t>“</w:t>
            </w:r>
            <w:r w:rsidRPr="003E7FFC">
              <w:rPr>
                <w:sz w:val="20"/>
              </w:rPr>
              <w:t>Party B</w:t>
            </w:r>
            <w:r w:rsidR="00A34C9E">
              <w:rPr>
                <w:sz w:val="20"/>
              </w:rPr>
              <w:t>”</w:t>
            </w:r>
            <w:r w:rsidRPr="003E7FFC">
              <w:rPr>
                <w:sz w:val="20"/>
              </w:rPr>
              <w:t>)</w:t>
            </w:r>
          </w:p>
        </w:tc>
      </w:tr>
      <w:tr w:rsidR="007130CD" w:rsidRPr="003E7FFC" w:rsidTr="00BA18B7">
        <w:trPr>
          <w:cantSplit/>
        </w:trPr>
        <w:tc>
          <w:tcPr>
            <w:tcW w:w="4795" w:type="dxa"/>
          </w:tcPr>
          <w:p w:rsidR="007130CD" w:rsidRPr="003E7FFC" w:rsidRDefault="007130CD">
            <w:pPr>
              <w:tabs>
                <w:tab w:val="right" w:pos="4320"/>
              </w:tabs>
              <w:spacing w:after="160"/>
              <w:rPr>
                <w:sz w:val="20"/>
              </w:rPr>
            </w:pPr>
            <w:permStart w:id="2143435235" w:edGrp="everyone"/>
            <w:r w:rsidRPr="003E7FFC">
              <w:rPr>
                <w:sz w:val="20"/>
              </w:rPr>
              <w:t>All Notices:</w:t>
            </w:r>
          </w:p>
        </w:tc>
        <w:tc>
          <w:tcPr>
            <w:tcW w:w="4795" w:type="dxa"/>
          </w:tcPr>
          <w:p w:rsidR="007130CD" w:rsidRPr="003E7FFC" w:rsidRDefault="007130CD" w:rsidP="00630C3E">
            <w:pPr>
              <w:tabs>
                <w:tab w:val="right" w:pos="4475"/>
              </w:tabs>
              <w:spacing w:after="160"/>
              <w:ind w:left="245"/>
              <w:rPr>
                <w:sz w:val="20"/>
              </w:rPr>
            </w:pPr>
            <w:r w:rsidRPr="003E7FFC">
              <w:rPr>
                <w:sz w:val="20"/>
              </w:rPr>
              <w:t>All Notices:</w:t>
            </w:r>
          </w:p>
        </w:tc>
      </w:tr>
      <w:tr w:rsidR="00B00A8D" w:rsidRPr="003E7FFC" w:rsidTr="00BA18B7">
        <w:trPr>
          <w:cantSplit/>
        </w:trPr>
        <w:tc>
          <w:tcPr>
            <w:tcW w:w="4795" w:type="dxa"/>
          </w:tcPr>
          <w:p w:rsidR="00B00A8D" w:rsidRPr="003E7FFC" w:rsidRDefault="00B00A8D" w:rsidP="00B00A8D">
            <w:pPr>
              <w:tabs>
                <w:tab w:val="right" w:pos="4320"/>
              </w:tabs>
              <w:spacing w:after="160"/>
              <w:rPr>
                <w:sz w:val="20"/>
              </w:rPr>
            </w:pPr>
            <w:r w:rsidRPr="003E7FFC">
              <w:rPr>
                <w:sz w:val="20"/>
              </w:rPr>
              <w:t xml:space="preserve">Street: </w:t>
            </w:r>
            <w:r w:rsidR="00AC1A4F">
              <w:rPr>
                <w:sz w:val="20"/>
              </w:rPr>
              <w:t xml:space="preserve"> </w:t>
            </w:r>
            <w:r w:rsidR="00AC1A4F" w:rsidRPr="003E7FFC">
              <w:rPr>
                <w:sz w:val="20"/>
                <w:u w:val="single"/>
              </w:rPr>
              <w:tab/>
            </w:r>
          </w:p>
        </w:tc>
        <w:tc>
          <w:tcPr>
            <w:tcW w:w="4795" w:type="dxa"/>
          </w:tcPr>
          <w:p w:rsidR="00176AAC" w:rsidRDefault="00B00A8D" w:rsidP="00AC1A4F">
            <w:pPr>
              <w:tabs>
                <w:tab w:val="right" w:pos="4385"/>
              </w:tabs>
              <w:spacing w:after="160"/>
              <w:ind w:left="240"/>
              <w:rPr>
                <w:sz w:val="20"/>
              </w:rPr>
            </w:pPr>
            <w:r w:rsidRPr="003E7FFC">
              <w:rPr>
                <w:sz w:val="20"/>
              </w:rPr>
              <w:t xml:space="preserve">Street: </w:t>
            </w:r>
            <w:r w:rsidR="00AC1A4F">
              <w:rPr>
                <w:sz w:val="20"/>
              </w:rPr>
              <w:t xml:space="preserve"> </w:t>
            </w:r>
            <w:r w:rsidR="00AC1A4F" w:rsidRPr="003E7FFC">
              <w:rPr>
                <w:sz w:val="20"/>
                <w:u w:val="single"/>
              </w:rPr>
              <w:tab/>
            </w:r>
          </w:p>
        </w:tc>
      </w:tr>
      <w:tr w:rsidR="00B00A8D" w:rsidRPr="003E7FFC" w:rsidTr="00BA18B7">
        <w:trPr>
          <w:cantSplit/>
        </w:trPr>
        <w:tc>
          <w:tcPr>
            <w:tcW w:w="4795" w:type="dxa"/>
          </w:tcPr>
          <w:p w:rsidR="00B00A8D" w:rsidRPr="003E7FFC" w:rsidRDefault="00B00A8D" w:rsidP="00B00A8D">
            <w:pPr>
              <w:tabs>
                <w:tab w:val="left" w:pos="2880"/>
                <w:tab w:val="right" w:pos="4320"/>
              </w:tabs>
              <w:spacing w:after="160"/>
              <w:rPr>
                <w:sz w:val="20"/>
              </w:rPr>
            </w:pPr>
            <w:r w:rsidRPr="003E7FFC">
              <w:rPr>
                <w:sz w:val="20"/>
              </w:rPr>
              <w:t xml:space="preserve">City: </w:t>
            </w:r>
            <w:r w:rsidR="00AC1A4F">
              <w:rPr>
                <w:sz w:val="20"/>
              </w:rPr>
              <w:t xml:space="preserve"> </w:t>
            </w:r>
            <w:r w:rsidRPr="003E7FFC">
              <w:rPr>
                <w:sz w:val="20"/>
                <w:u w:val="single"/>
              </w:rPr>
              <w:tab/>
            </w:r>
            <w:r w:rsidRPr="003E7FFC">
              <w:rPr>
                <w:sz w:val="20"/>
              </w:rPr>
              <w:t xml:space="preserve">Zip: </w:t>
            </w:r>
            <w:r w:rsidRPr="003E7FFC">
              <w:rPr>
                <w:sz w:val="20"/>
                <w:u w:val="single"/>
              </w:rPr>
              <w:tab/>
            </w:r>
          </w:p>
        </w:tc>
        <w:tc>
          <w:tcPr>
            <w:tcW w:w="4795" w:type="dxa"/>
          </w:tcPr>
          <w:p w:rsidR="00176AAC" w:rsidRDefault="00B00A8D" w:rsidP="00AC1A4F">
            <w:pPr>
              <w:tabs>
                <w:tab w:val="left" w:pos="2880"/>
                <w:tab w:val="right" w:pos="4385"/>
              </w:tabs>
              <w:spacing w:after="160"/>
              <w:ind w:left="240"/>
              <w:rPr>
                <w:sz w:val="20"/>
              </w:rPr>
            </w:pPr>
            <w:r w:rsidRPr="003E7FFC">
              <w:rPr>
                <w:sz w:val="20"/>
              </w:rPr>
              <w:t xml:space="preserve">City: </w:t>
            </w:r>
            <w:r w:rsidR="00AC1A4F">
              <w:rPr>
                <w:sz w:val="20"/>
              </w:rPr>
              <w:t xml:space="preserve"> </w:t>
            </w:r>
            <w:r w:rsidRPr="003E7FFC">
              <w:rPr>
                <w:sz w:val="20"/>
                <w:u w:val="single"/>
              </w:rPr>
              <w:tab/>
            </w:r>
            <w:r w:rsidRPr="003E7FFC">
              <w:rPr>
                <w:sz w:val="20"/>
              </w:rPr>
              <w:t xml:space="preserve">Zip: </w:t>
            </w:r>
            <w:r w:rsidR="00AC1A4F">
              <w:rPr>
                <w:sz w:val="20"/>
              </w:rPr>
              <w:t xml:space="preserve"> </w:t>
            </w:r>
            <w:r w:rsidRPr="003E7FFC">
              <w:rPr>
                <w:sz w:val="20"/>
                <w:u w:val="single"/>
              </w:rPr>
              <w:tab/>
            </w:r>
          </w:p>
        </w:tc>
      </w:tr>
      <w:tr w:rsidR="00B00A8D" w:rsidRPr="003E7FFC" w:rsidTr="00BA18B7">
        <w:trPr>
          <w:cantSplit/>
        </w:trPr>
        <w:tc>
          <w:tcPr>
            <w:tcW w:w="4795" w:type="dxa"/>
          </w:tcPr>
          <w:p w:rsidR="00AC1A4F" w:rsidRDefault="00B00A8D" w:rsidP="00AC1A4F">
            <w:pPr>
              <w:tabs>
                <w:tab w:val="right" w:pos="4320"/>
              </w:tabs>
              <w:rPr>
                <w:sz w:val="20"/>
              </w:rPr>
            </w:pPr>
            <w:r w:rsidRPr="003E7FFC">
              <w:rPr>
                <w:sz w:val="20"/>
              </w:rPr>
              <w:t xml:space="preserve">Attn: </w:t>
            </w:r>
            <w:r w:rsidR="00AC1A4F">
              <w:rPr>
                <w:sz w:val="20"/>
              </w:rPr>
              <w:t xml:space="preserve"> </w:t>
            </w:r>
            <w:r w:rsidR="00AC1A4F" w:rsidRPr="003E7FFC">
              <w:rPr>
                <w:sz w:val="20"/>
                <w:u w:val="single"/>
              </w:rPr>
              <w:tab/>
            </w:r>
            <w:r w:rsidRPr="003E7FFC">
              <w:rPr>
                <w:sz w:val="20"/>
              </w:rPr>
              <w:br/>
              <w:t xml:space="preserve">Phone: </w:t>
            </w:r>
            <w:r w:rsidR="00AC1A4F">
              <w:rPr>
                <w:sz w:val="20"/>
              </w:rPr>
              <w:t xml:space="preserve"> </w:t>
            </w:r>
            <w:r w:rsidR="00AC1A4F" w:rsidRPr="003E7FFC">
              <w:rPr>
                <w:sz w:val="20"/>
                <w:u w:val="single"/>
              </w:rPr>
              <w:tab/>
            </w:r>
            <w:r w:rsidRPr="003E7FFC">
              <w:rPr>
                <w:sz w:val="20"/>
              </w:rPr>
              <w:br/>
              <w:t xml:space="preserve">E-mail: </w:t>
            </w:r>
            <w:r w:rsidR="00AC1A4F">
              <w:rPr>
                <w:sz w:val="20"/>
              </w:rPr>
              <w:t xml:space="preserve"> </w:t>
            </w:r>
            <w:r w:rsidR="00AC1A4F" w:rsidRPr="003E7FFC">
              <w:rPr>
                <w:sz w:val="20"/>
                <w:u w:val="single"/>
              </w:rPr>
              <w:tab/>
            </w:r>
          </w:p>
          <w:p w:rsidR="00B00A8D" w:rsidRPr="003E7FFC" w:rsidRDefault="00B00A8D" w:rsidP="00A634B5">
            <w:pPr>
              <w:tabs>
                <w:tab w:val="right" w:pos="4320"/>
              </w:tabs>
              <w:spacing w:after="200"/>
              <w:rPr>
                <w:sz w:val="20"/>
              </w:rPr>
            </w:pPr>
            <w:r w:rsidRPr="003E7FFC">
              <w:rPr>
                <w:sz w:val="20"/>
              </w:rPr>
              <w:t xml:space="preserve">Federal Tax ID Number: </w:t>
            </w:r>
            <w:r w:rsidR="00AC1A4F">
              <w:rPr>
                <w:sz w:val="20"/>
              </w:rPr>
              <w:t xml:space="preserve"> </w:t>
            </w:r>
            <w:r w:rsidRPr="003E7FFC">
              <w:rPr>
                <w:sz w:val="20"/>
                <w:u w:val="single"/>
              </w:rPr>
              <w:tab/>
            </w:r>
          </w:p>
        </w:tc>
        <w:tc>
          <w:tcPr>
            <w:tcW w:w="4795" w:type="dxa"/>
          </w:tcPr>
          <w:p w:rsidR="00AC1A4F" w:rsidRDefault="00B00A8D" w:rsidP="001A02BE">
            <w:pPr>
              <w:tabs>
                <w:tab w:val="right" w:pos="4385"/>
              </w:tabs>
              <w:ind w:left="240"/>
              <w:rPr>
                <w:sz w:val="20"/>
              </w:rPr>
            </w:pPr>
            <w:r w:rsidRPr="003E7FFC">
              <w:rPr>
                <w:sz w:val="20"/>
              </w:rPr>
              <w:t xml:space="preserve">Attn: </w:t>
            </w:r>
            <w:r w:rsidR="00AC1A4F">
              <w:rPr>
                <w:sz w:val="20"/>
              </w:rPr>
              <w:t xml:space="preserve"> </w:t>
            </w:r>
            <w:r w:rsidR="00AC1A4F" w:rsidRPr="003E7FFC">
              <w:rPr>
                <w:sz w:val="20"/>
                <w:u w:val="single"/>
              </w:rPr>
              <w:tab/>
            </w:r>
            <w:r w:rsidRPr="003E7FFC">
              <w:rPr>
                <w:sz w:val="20"/>
              </w:rPr>
              <w:br/>
              <w:t xml:space="preserve">Phone: </w:t>
            </w:r>
            <w:r w:rsidR="00AC1A4F">
              <w:rPr>
                <w:sz w:val="20"/>
              </w:rPr>
              <w:t xml:space="preserve"> </w:t>
            </w:r>
            <w:r w:rsidR="00AC1A4F" w:rsidRPr="003E7FFC">
              <w:rPr>
                <w:sz w:val="20"/>
                <w:u w:val="single"/>
              </w:rPr>
              <w:tab/>
            </w:r>
            <w:r w:rsidRPr="003E7FFC">
              <w:rPr>
                <w:sz w:val="20"/>
              </w:rPr>
              <w:br/>
              <w:t xml:space="preserve">E-mail: </w:t>
            </w:r>
            <w:r w:rsidR="00AC1A4F">
              <w:rPr>
                <w:sz w:val="20"/>
              </w:rPr>
              <w:t xml:space="preserve"> </w:t>
            </w:r>
            <w:r w:rsidR="00AC1A4F" w:rsidRPr="003E7FFC">
              <w:rPr>
                <w:sz w:val="20"/>
                <w:u w:val="single"/>
              </w:rPr>
              <w:tab/>
            </w:r>
          </w:p>
          <w:p w:rsidR="00176AAC" w:rsidRDefault="00B00A8D" w:rsidP="00AC1A4F">
            <w:pPr>
              <w:tabs>
                <w:tab w:val="right" w:pos="4385"/>
              </w:tabs>
              <w:ind w:left="240"/>
              <w:rPr>
                <w:sz w:val="20"/>
              </w:rPr>
            </w:pPr>
            <w:r w:rsidRPr="003E7FFC">
              <w:rPr>
                <w:sz w:val="20"/>
              </w:rPr>
              <w:t xml:space="preserve">Federal Tax ID Number: </w:t>
            </w:r>
            <w:r w:rsidR="00AC1A4F" w:rsidRPr="003E7FFC">
              <w:rPr>
                <w:sz w:val="20"/>
                <w:u w:val="single"/>
              </w:rPr>
              <w:tab/>
            </w:r>
          </w:p>
        </w:tc>
      </w:tr>
      <w:tr w:rsidR="00B00A8D" w:rsidRPr="003E7FFC" w:rsidTr="00BA18B7">
        <w:trPr>
          <w:cantSplit/>
        </w:trPr>
        <w:tc>
          <w:tcPr>
            <w:tcW w:w="4795" w:type="dxa"/>
          </w:tcPr>
          <w:p w:rsidR="00A634B5" w:rsidRDefault="00B00A8D" w:rsidP="00B00A8D">
            <w:pPr>
              <w:tabs>
                <w:tab w:val="right" w:pos="4320"/>
              </w:tabs>
              <w:ind w:left="288" w:hanging="288"/>
              <w:rPr>
                <w:sz w:val="20"/>
                <w:u w:val="single"/>
              </w:rPr>
            </w:pPr>
            <w:r w:rsidRPr="003E7FFC">
              <w:rPr>
                <w:b/>
                <w:sz w:val="20"/>
              </w:rPr>
              <w:t>Invoices:</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rsidR="00B00A8D" w:rsidRPr="003E7FFC" w:rsidRDefault="00B00A8D" w:rsidP="00E629BB">
            <w:pPr>
              <w:tabs>
                <w:tab w:val="right" w:pos="4320"/>
              </w:tabs>
              <w:ind w:left="288" w:hanging="18"/>
              <w:rPr>
                <w:sz w:val="20"/>
                <w:u w:val="single"/>
              </w:rPr>
            </w:pPr>
            <w:r w:rsidRPr="003E7FFC">
              <w:rPr>
                <w:sz w:val="20"/>
              </w:rPr>
              <w:t xml:space="preserve">E-mail: </w:t>
            </w:r>
            <w:r w:rsidR="00AC1A4F">
              <w:rPr>
                <w:sz w:val="20"/>
              </w:rPr>
              <w:t xml:space="preserve"> </w:t>
            </w:r>
            <w:r w:rsidR="00AC1A4F" w:rsidRPr="003E7FFC">
              <w:rPr>
                <w:sz w:val="20"/>
                <w:u w:val="single"/>
              </w:rPr>
              <w:tab/>
            </w:r>
          </w:p>
        </w:tc>
        <w:tc>
          <w:tcPr>
            <w:tcW w:w="4795" w:type="dxa"/>
          </w:tcPr>
          <w:p w:rsidR="00A634B5" w:rsidRDefault="00B00A8D" w:rsidP="00E629BB">
            <w:pPr>
              <w:tabs>
                <w:tab w:val="right" w:pos="4385"/>
              </w:tabs>
              <w:ind w:left="533" w:hanging="288"/>
              <w:rPr>
                <w:sz w:val="20"/>
                <w:u w:val="single"/>
              </w:rPr>
            </w:pPr>
            <w:r w:rsidRPr="003E7FFC">
              <w:rPr>
                <w:b/>
                <w:sz w:val="20"/>
              </w:rPr>
              <w:t>Invoices:</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rsidR="00B00A8D" w:rsidRPr="003E7FFC" w:rsidRDefault="00B00A8D" w:rsidP="00E629BB">
            <w:pPr>
              <w:tabs>
                <w:tab w:val="right" w:pos="4385"/>
              </w:tabs>
              <w:spacing w:after="200"/>
              <w:ind w:left="533" w:firstLine="70"/>
              <w:rPr>
                <w:sz w:val="20"/>
              </w:rPr>
            </w:pPr>
            <w:r w:rsidRPr="003E7FFC">
              <w:rPr>
                <w:sz w:val="20"/>
              </w:rPr>
              <w:t xml:space="preserve">E-mail: </w:t>
            </w:r>
            <w:r w:rsidR="00AC1A4F">
              <w:rPr>
                <w:sz w:val="20"/>
              </w:rPr>
              <w:t xml:space="preserve"> </w:t>
            </w:r>
            <w:r w:rsidR="00AC1A4F" w:rsidRPr="003E7FFC">
              <w:rPr>
                <w:sz w:val="20"/>
                <w:u w:val="single"/>
              </w:rPr>
              <w:tab/>
            </w:r>
          </w:p>
        </w:tc>
      </w:tr>
      <w:tr w:rsidR="00B00A8D" w:rsidRPr="003E7FFC" w:rsidTr="00BA18B7">
        <w:trPr>
          <w:cantSplit/>
        </w:trPr>
        <w:tc>
          <w:tcPr>
            <w:tcW w:w="4795" w:type="dxa"/>
          </w:tcPr>
          <w:p w:rsidR="00AC1A4F" w:rsidRDefault="00B00A8D" w:rsidP="00AC1A4F">
            <w:pPr>
              <w:tabs>
                <w:tab w:val="right" w:pos="4320"/>
              </w:tabs>
              <w:ind w:left="288" w:hanging="288"/>
              <w:rPr>
                <w:sz w:val="20"/>
              </w:rPr>
            </w:pPr>
            <w:r w:rsidRPr="003E7FFC">
              <w:rPr>
                <w:b/>
                <w:sz w:val="20"/>
              </w:rPr>
              <w:t>Scheduling:</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rsidR="00B00A8D" w:rsidRPr="00AC1A4F" w:rsidRDefault="00B00A8D" w:rsidP="00AC1A4F">
            <w:pPr>
              <w:tabs>
                <w:tab w:val="right" w:pos="4320"/>
              </w:tabs>
              <w:ind w:left="288" w:hanging="18"/>
              <w:rPr>
                <w:sz w:val="20"/>
              </w:rPr>
            </w:pPr>
            <w:r w:rsidRPr="003E7FFC">
              <w:rPr>
                <w:sz w:val="20"/>
              </w:rPr>
              <w:t xml:space="preserve">E-mail: </w:t>
            </w:r>
            <w:r w:rsidR="00AC1A4F">
              <w:rPr>
                <w:sz w:val="20"/>
              </w:rPr>
              <w:t xml:space="preserve"> </w:t>
            </w:r>
            <w:r w:rsidR="00AC1A4F" w:rsidRPr="003E7FFC">
              <w:rPr>
                <w:sz w:val="20"/>
                <w:u w:val="single"/>
              </w:rPr>
              <w:tab/>
            </w:r>
          </w:p>
        </w:tc>
        <w:tc>
          <w:tcPr>
            <w:tcW w:w="4795" w:type="dxa"/>
          </w:tcPr>
          <w:p w:rsidR="00B00A8D" w:rsidRDefault="00B00A8D" w:rsidP="00E629BB">
            <w:pPr>
              <w:tabs>
                <w:tab w:val="right" w:pos="4385"/>
              </w:tabs>
              <w:ind w:left="519" w:hanging="274"/>
              <w:rPr>
                <w:sz w:val="20"/>
                <w:u w:val="single"/>
              </w:rPr>
            </w:pPr>
            <w:r w:rsidRPr="003E7FFC">
              <w:rPr>
                <w:b/>
                <w:sz w:val="20"/>
              </w:rPr>
              <w:t>Scheduling:</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r w:rsidRPr="003E7FFC">
              <w:rPr>
                <w:sz w:val="20"/>
              </w:rPr>
              <w:br/>
              <w:t xml:space="preserve">E-mail: </w:t>
            </w:r>
            <w:r w:rsidR="00AC1A4F">
              <w:rPr>
                <w:sz w:val="20"/>
              </w:rPr>
              <w:t xml:space="preserve"> </w:t>
            </w:r>
            <w:r w:rsidR="00AC1A4F" w:rsidRPr="003E7FFC">
              <w:rPr>
                <w:sz w:val="20"/>
                <w:u w:val="single"/>
              </w:rPr>
              <w:tab/>
            </w:r>
            <w:r w:rsidR="00E629BB">
              <w:rPr>
                <w:sz w:val="20"/>
                <w:u w:val="single"/>
              </w:rPr>
              <w:t xml:space="preserve"> </w:t>
            </w:r>
          </w:p>
          <w:p w:rsidR="00E629BB" w:rsidRPr="003E7FFC" w:rsidRDefault="00E629BB" w:rsidP="00E629BB">
            <w:pPr>
              <w:tabs>
                <w:tab w:val="right" w:pos="4385"/>
              </w:tabs>
              <w:ind w:left="519" w:hanging="274"/>
              <w:rPr>
                <w:sz w:val="20"/>
              </w:rPr>
            </w:pPr>
          </w:p>
        </w:tc>
      </w:tr>
      <w:tr w:rsidR="00B00A8D" w:rsidRPr="003E7FFC" w:rsidTr="00BA18B7">
        <w:trPr>
          <w:cantSplit/>
        </w:trPr>
        <w:tc>
          <w:tcPr>
            <w:tcW w:w="4795" w:type="dxa"/>
          </w:tcPr>
          <w:p w:rsidR="00A634B5" w:rsidRDefault="00B00A8D" w:rsidP="00A634B5">
            <w:pPr>
              <w:tabs>
                <w:tab w:val="right" w:pos="4320"/>
              </w:tabs>
              <w:ind w:left="288" w:hanging="288"/>
              <w:rPr>
                <w:sz w:val="20"/>
                <w:u w:val="single"/>
              </w:rPr>
            </w:pPr>
            <w:r w:rsidRPr="003E7FFC">
              <w:rPr>
                <w:b/>
                <w:sz w:val="20"/>
              </w:rPr>
              <w:t>Payments:</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rsidR="00B00A8D" w:rsidRPr="003E7FFC" w:rsidRDefault="00B00A8D" w:rsidP="00A634B5">
            <w:pPr>
              <w:tabs>
                <w:tab w:val="right" w:pos="4320"/>
              </w:tabs>
              <w:spacing w:after="200"/>
              <w:ind w:left="288" w:hanging="18"/>
              <w:rPr>
                <w:sz w:val="20"/>
                <w:u w:val="single"/>
              </w:rPr>
            </w:pPr>
            <w:r w:rsidRPr="003E7FFC">
              <w:rPr>
                <w:sz w:val="20"/>
              </w:rPr>
              <w:t>E-mail:</w:t>
            </w:r>
            <w:r w:rsidR="00AC1A4F">
              <w:rPr>
                <w:sz w:val="20"/>
              </w:rPr>
              <w:t xml:space="preserve"> </w:t>
            </w:r>
            <w:r w:rsidR="00AC1A4F" w:rsidRPr="003E7FFC">
              <w:rPr>
                <w:sz w:val="20"/>
                <w:u w:val="single"/>
              </w:rPr>
              <w:t xml:space="preserve"> </w:t>
            </w:r>
            <w:r w:rsidR="00AC1A4F" w:rsidRPr="003E7FFC">
              <w:rPr>
                <w:sz w:val="20"/>
                <w:u w:val="single"/>
              </w:rPr>
              <w:tab/>
            </w:r>
          </w:p>
        </w:tc>
        <w:tc>
          <w:tcPr>
            <w:tcW w:w="4795" w:type="dxa"/>
          </w:tcPr>
          <w:p w:rsidR="00A634B5" w:rsidRDefault="00B00A8D" w:rsidP="00A634B5">
            <w:pPr>
              <w:tabs>
                <w:tab w:val="right" w:pos="4475"/>
              </w:tabs>
              <w:ind w:left="533" w:hanging="288"/>
              <w:rPr>
                <w:sz w:val="20"/>
                <w:u w:val="single"/>
              </w:rPr>
            </w:pPr>
            <w:r w:rsidRPr="003E7FFC">
              <w:rPr>
                <w:b/>
                <w:sz w:val="20"/>
              </w:rPr>
              <w:t>Payments:</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rsidR="00B00A8D" w:rsidRPr="003E7FFC" w:rsidRDefault="00B00A8D" w:rsidP="00A634B5">
            <w:pPr>
              <w:tabs>
                <w:tab w:val="right" w:pos="4475"/>
              </w:tabs>
              <w:spacing w:after="200"/>
              <w:ind w:left="533" w:hanging="18"/>
              <w:rPr>
                <w:sz w:val="20"/>
              </w:rPr>
            </w:pPr>
            <w:r w:rsidRPr="003E7FFC">
              <w:rPr>
                <w:sz w:val="20"/>
              </w:rPr>
              <w:t>E-mail:</w:t>
            </w:r>
            <w:r w:rsidR="00AC1A4F" w:rsidRPr="003E7FFC">
              <w:rPr>
                <w:sz w:val="20"/>
                <w:u w:val="single"/>
              </w:rPr>
              <w:t xml:space="preserve"> </w:t>
            </w:r>
            <w:r w:rsidR="00AC1A4F">
              <w:rPr>
                <w:sz w:val="20"/>
                <w:u w:val="single"/>
              </w:rPr>
              <w:t xml:space="preserve"> </w:t>
            </w:r>
            <w:r w:rsidR="00AC1A4F" w:rsidRPr="003E7FFC">
              <w:rPr>
                <w:sz w:val="20"/>
                <w:u w:val="single"/>
              </w:rPr>
              <w:tab/>
            </w:r>
          </w:p>
        </w:tc>
      </w:tr>
      <w:tr w:rsidR="00B00A8D" w:rsidRPr="003E7FFC" w:rsidTr="00BA18B7">
        <w:trPr>
          <w:cantSplit/>
        </w:trPr>
        <w:tc>
          <w:tcPr>
            <w:tcW w:w="4795" w:type="dxa"/>
          </w:tcPr>
          <w:p w:rsidR="00B00A8D" w:rsidRPr="003E7FFC" w:rsidRDefault="00B00A8D" w:rsidP="00B00A8D">
            <w:pPr>
              <w:tabs>
                <w:tab w:val="right" w:pos="4320"/>
              </w:tabs>
              <w:spacing w:after="200"/>
              <w:ind w:left="288" w:hanging="288"/>
              <w:rPr>
                <w:sz w:val="20"/>
              </w:rPr>
            </w:pPr>
            <w:r w:rsidRPr="003E7FFC">
              <w:rPr>
                <w:b/>
                <w:sz w:val="20"/>
              </w:rPr>
              <w:t>Wire Transfer:</w:t>
            </w:r>
            <w:r w:rsidRPr="003E7FFC">
              <w:rPr>
                <w:sz w:val="20"/>
              </w:rPr>
              <w:br/>
              <w:t xml:space="preserve">BNK: </w:t>
            </w:r>
            <w:r w:rsidR="00AC1A4F">
              <w:rPr>
                <w:sz w:val="20"/>
              </w:rPr>
              <w:t xml:space="preserve"> </w:t>
            </w:r>
            <w:r w:rsidRPr="003E7FFC">
              <w:rPr>
                <w:sz w:val="20"/>
                <w:u w:val="single"/>
              </w:rPr>
              <w:tab/>
            </w:r>
            <w:r w:rsidRPr="003E7FFC">
              <w:rPr>
                <w:sz w:val="20"/>
              </w:rPr>
              <w:br/>
              <w:t xml:space="preserve">ABA: </w:t>
            </w:r>
            <w:r w:rsidR="00AC1A4F">
              <w:rPr>
                <w:sz w:val="20"/>
              </w:rPr>
              <w:t xml:space="preserve"> </w:t>
            </w:r>
            <w:r w:rsidRPr="003E7FFC">
              <w:rPr>
                <w:sz w:val="20"/>
                <w:u w:val="single"/>
              </w:rPr>
              <w:tab/>
            </w:r>
            <w:r w:rsidRPr="003E7FFC">
              <w:rPr>
                <w:sz w:val="20"/>
              </w:rPr>
              <w:br/>
              <w:t xml:space="preserve">ACCT: </w:t>
            </w:r>
            <w:r w:rsidR="00AC1A4F">
              <w:rPr>
                <w:sz w:val="20"/>
              </w:rPr>
              <w:t xml:space="preserve"> </w:t>
            </w:r>
            <w:r w:rsidRPr="003E7FFC">
              <w:rPr>
                <w:sz w:val="20"/>
                <w:u w:val="single"/>
              </w:rPr>
              <w:tab/>
            </w:r>
          </w:p>
        </w:tc>
        <w:tc>
          <w:tcPr>
            <w:tcW w:w="4795" w:type="dxa"/>
          </w:tcPr>
          <w:p w:rsidR="00B00A8D" w:rsidRPr="003E7FFC" w:rsidRDefault="00B00A8D" w:rsidP="00B00A8D">
            <w:pPr>
              <w:tabs>
                <w:tab w:val="right" w:pos="4475"/>
              </w:tabs>
              <w:spacing w:after="200"/>
              <w:ind w:left="533" w:hanging="288"/>
              <w:rPr>
                <w:sz w:val="20"/>
              </w:rPr>
            </w:pPr>
            <w:r w:rsidRPr="003E7FFC">
              <w:rPr>
                <w:b/>
                <w:sz w:val="20"/>
              </w:rPr>
              <w:t>Wire Transfer:</w:t>
            </w:r>
            <w:r w:rsidRPr="003E7FFC">
              <w:rPr>
                <w:sz w:val="20"/>
              </w:rPr>
              <w:br/>
              <w:t xml:space="preserve">BNK: </w:t>
            </w:r>
            <w:r w:rsidR="00AC1A4F">
              <w:rPr>
                <w:sz w:val="20"/>
              </w:rPr>
              <w:t xml:space="preserve"> </w:t>
            </w:r>
            <w:r w:rsidR="00AC1A4F" w:rsidRPr="003E7FFC">
              <w:rPr>
                <w:sz w:val="20"/>
                <w:u w:val="single"/>
              </w:rPr>
              <w:tab/>
            </w:r>
            <w:r w:rsidRPr="003E7FFC">
              <w:rPr>
                <w:sz w:val="20"/>
              </w:rPr>
              <w:br/>
              <w:t xml:space="preserve">ABA: </w:t>
            </w:r>
            <w:r w:rsidR="00AC1A4F">
              <w:rPr>
                <w:sz w:val="20"/>
              </w:rPr>
              <w:t xml:space="preserve"> </w:t>
            </w:r>
            <w:r w:rsidR="00AC1A4F" w:rsidRPr="003E7FFC">
              <w:rPr>
                <w:sz w:val="20"/>
                <w:u w:val="single"/>
              </w:rPr>
              <w:tab/>
            </w:r>
            <w:r w:rsidRPr="003E7FFC">
              <w:rPr>
                <w:sz w:val="20"/>
              </w:rPr>
              <w:br/>
              <w:t xml:space="preserve">ACCT: </w:t>
            </w:r>
            <w:r w:rsidR="00AC1A4F">
              <w:rPr>
                <w:sz w:val="20"/>
              </w:rPr>
              <w:t xml:space="preserve"> </w:t>
            </w:r>
            <w:r w:rsidR="00AC1A4F" w:rsidRPr="003E7FFC">
              <w:rPr>
                <w:sz w:val="20"/>
                <w:u w:val="single"/>
              </w:rPr>
              <w:tab/>
            </w:r>
          </w:p>
        </w:tc>
      </w:tr>
      <w:tr w:rsidR="00B00A8D" w:rsidRPr="003E7FFC" w:rsidTr="00BA18B7">
        <w:trPr>
          <w:cantSplit/>
        </w:trPr>
        <w:tc>
          <w:tcPr>
            <w:tcW w:w="4795" w:type="dxa"/>
          </w:tcPr>
          <w:p w:rsidR="00A634B5" w:rsidRDefault="00B00A8D" w:rsidP="00AC1A4F">
            <w:pPr>
              <w:tabs>
                <w:tab w:val="right" w:pos="4320"/>
              </w:tabs>
              <w:ind w:left="374" w:hanging="374"/>
              <w:rPr>
                <w:sz w:val="20"/>
                <w:u w:val="single"/>
              </w:rPr>
            </w:pPr>
            <w:r w:rsidRPr="003E7FFC">
              <w:rPr>
                <w:b/>
                <w:sz w:val="20"/>
              </w:rPr>
              <w:t>Credit and Collections:</w:t>
            </w:r>
            <w:r w:rsidRPr="003E7FFC">
              <w:rPr>
                <w:sz w:val="20"/>
              </w:rPr>
              <w:b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rsidR="00B00A8D" w:rsidRPr="00AC1A4F" w:rsidRDefault="000D6310" w:rsidP="00E629BB">
            <w:pPr>
              <w:tabs>
                <w:tab w:val="right" w:pos="4320"/>
              </w:tabs>
              <w:ind w:left="374" w:hanging="14"/>
              <w:rPr>
                <w:sz w:val="20"/>
                <w:u w:val="single"/>
              </w:rPr>
            </w:pPr>
            <w:r>
              <w:rPr>
                <w:sz w:val="20"/>
              </w:rPr>
              <w:t>E-mail</w:t>
            </w:r>
            <w:r w:rsidR="00B00A8D" w:rsidRPr="003E7FFC">
              <w:rPr>
                <w:sz w:val="20"/>
              </w:rPr>
              <w:t xml:space="preserve">: </w:t>
            </w:r>
            <w:r w:rsidR="00AC1A4F">
              <w:rPr>
                <w:sz w:val="20"/>
              </w:rPr>
              <w:t xml:space="preserve"> </w:t>
            </w:r>
            <w:r w:rsidR="00B00A8D" w:rsidRPr="003E7FFC">
              <w:rPr>
                <w:sz w:val="20"/>
                <w:u w:val="single"/>
              </w:rPr>
              <w:tab/>
            </w:r>
          </w:p>
        </w:tc>
        <w:tc>
          <w:tcPr>
            <w:tcW w:w="4795" w:type="dxa"/>
          </w:tcPr>
          <w:p w:rsidR="00176AAC" w:rsidRDefault="00B00A8D" w:rsidP="00AC1A4F">
            <w:pPr>
              <w:tabs>
                <w:tab w:val="right" w:pos="4385"/>
              </w:tabs>
              <w:ind w:left="510" w:hanging="270"/>
              <w:rPr>
                <w:sz w:val="20"/>
                <w:u w:val="single"/>
              </w:rPr>
            </w:pPr>
            <w:r w:rsidRPr="003E7FFC">
              <w:rPr>
                <w:b/>
                <w:sz w:val="20"/>
              </w:rPr>
              <w:t>Credit and Collections:</w:t>
            </w:r>
            <w:r w:rsidRPr="003E7FFC">
              <w:rPr>
                <w:sz w:val="20"/>
              </w:rPr>
              <w:br/>
              <w:t xml:space="preserve">Attn: </w:t>
            </w:r>
            <w:r w:rsidR="00AC1A4F">
              <w:rPr>
                <w:sz w:val="20"/>
              </w:rPr>
              <w:t xml:space="preserve"> </w:t>
            </w:r>
            <w:r w:rsidRPr="003E7FFC">
              <w:rPr>
                <w:sz w:val="20"/>
                <w:u w:val="single"/>
              </w:rPr>
              <w:tab/>
            </w:r>
            <w:r w:rsidRPr="003E7FFC">
              <w:rPr>
                <w:sz w:val="20"/>
              </w:rPr>
              <w:br/>
              <w:t>Phone:</w:t>
            </w:r>
            <w:r w:rsidR="00AC1A4F">
              <w:rPr>
                <w:sz w:val="20"/>
              </w:rPr>
              <w:t xml:space="preserve"> </w:t>
            </w:r>
            <w:r w:rsidRPr="003E7FFC">
              <w:rPr>
                <w:sz w:val="20"/>
              </w:rPr>
              <w:t xml:space="preserve"> </w:t>
            </w:r>
            <w:r w:rsidRPr="003E7FFC">
              <w:rPr>
                <w:sz w:val="20"/>
                <w:u w:val="single"/>
              </w:rPr>
              <w:tab/>
            </w:r>
          </w:p>
          <w:p w:rsidR="00176AAC" w:rsidRDefault="00B00A8D" w:rsidP="00AC1A4F">
            <w:pPr>
              <w:tabs>
                <w:tab w:val="right" w:pos="4385"/>
                <w:tab w:val="right" w:pos="4475"/>
              </w:tabs>
              <w:spacing w:after="200"/>
              <w:ind w:left="510"/>
              <w:rPr>
                <w:sz w:val="20"/>
              </w:rPr>
            </w:pPr>
            <w:r w:rsidRPr="003E7FFC">
              <w:rPr>
                <w:sz w:val="20"/>
              </w:rPr>
              <w:t xml:space="preserve">E-mail: </w:t>
            </w:r>
            <w:r w:rsidR="00AC1A4F">
              <w:rPr>
                <w:sz w:val="20"/>
              </w:rPr>
              <w:t xml:space="preserve"> </w:t>
            </w:r>
            <w:r w:rsidR="00AC1A4F" w:rsidRPr="003E7FFC">
              <w:rPr>
                <w:sz w:val="20"/>
                <w:u w:val="single"/>
              </w:rPr>
              <w:tab/>
            </w:r>
          </w:p>
        </w:tc>
      </w:tr>
      <w:tr w:rsidR="00B00A8D" w:rsidRPr="003E7FFC" w:rsidTr="00BA18B7">
        <w:trPr>
          <w:cantSplit/>
        </w:trPr>
        <w:tc>
          <w:tcPr>
            <w:tcW w:w="4795" w:type="dxa"/>
          </w:tcPr>
          <w:p w:rsidR="00B00A8D" w:rsidRPr="003E7FFC" w:rsidRDefault="00B00A8D" w:rsidP="00B00A8D">
            <w:pPr>
              <w:tabs>
                <w:tab w:val="right" w:pos="4320"/>
              </w:tabs>
              <w:rPr>
                <w:sz w:val="20"/>
              </w:rPr>
            </w:pPr>
            <w:r w:rsidRPr="003E7FFC">
              <w:rPr>
                <w:sz w:val="20"/>
              </w:rPr>
              <w:t>With additional Notices of an Event of Default or Potential Event of Default to:</w:t>
            </w:r>
          </w:p>
          <w:p w:rsidR="00B00A8D" w:rsidRDefault="00B00A8D" w:rsidP="00B00A8D">
            <w:pPr>
              <w:tabs>
                <w:tab w:val="right" w:pos="4320"/>
              </w:tabs>
              <w:ind w:left="187"/>
              <w:rPr>
                <w:sz w:val="20"/>
                <w:u w:val="single"/>
              </w:rPr>
            </w:pPr>
            <w:r w:rsidRPr="003E7FFC">
              <w:rPr>
                <w:sz w:val="20"/>
              </w:rP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rsidR="00B00A8D" w:rsidRPr="003E7FFC" w:rsidRDefault="00B00A8D" w:rsidP="00B00A8D">
            <w:pPr>
              <w:tabs>
                <w:tab w:val="right" w:pos="4320"/>
              </w:tabs>
              <w:ind w:left="187"/>
              <w:rPr>
                <w:sz w:val="20"/>
              </w:rPr>
            </w:pPr>
            <w:r w:rsidRPr="003E7FFC">
              <w:rPr>
                <w:sz w:val="20"/>
              </w:rPr>
              <w:t xml:space="preserve">E-mail: </w:t>
            </w:r>
            <w:r w:rsidR="00AC1A4F">
              <w:rPr>
                <w:sz w:val="20"/>
              </w:rPr>
              <w:t xml:space="preserve"> </w:t>
            </w:r>
            <w:r w:rsidR="00AC1A4F" w:rsidRPr="003E7FFC">
              <w:rPr>
                <w:sz w:val="20"/>
                <w:u w:val="single"/>
              </w:rPr>
              <w:tab/>
            </w:r>
          </w:p>
        </w:tc>
        <w:tc>
          <w:tcPr>
            <w:tcW w:w="4795" w:type="dxa"/>
          </w:tcPr>
          <w:p w:rsidR="00B00A8D" w:rsidRPr="003E7FFC" w:rsidRDefault="00B00A8D" w:rsidP="00B00A8D">
            <w:pPr>
              <w:tabs>
                <w:tab w:val="right" w:pos="4475"/>
              </w:tabs>
              <w:ind w:left="245"/>
              <w:rPr>
                <w:sz w:val="20"/>
              </w:rPr>
            </w:pPr>
            <w:r w:rsidRPr="003E7FFC">
              <w:rPr>
                <w:sz w:val="20"/>
              </w:rPr>
              <w:t>With additional Notices of an Event of Default or Potential Event of Default to:</w:t>
            </w:r>
          </w:p>
          <w:p w:rsidR="00176AAC" w:rsidRDefault="002B31D1" w:rsidP="00176AAC">
            <w:pPr>
              <w:tabs>
                <w:tab w:val="right" w:pos="4320"/>
              </w:tabs>
              <w:ind w:left="420"/>
              <w:rPr>
                <w:sz w:val="20"/>
                <w:u w:val="single"/>
              </w:rPr>
            </w:pPr>
            <w:r w:rsidRPr="003E7FFC">
              <w:rPr>
                <w:sz w:val="20"/>
              </w:rPr>
              <w:t xml:space="preserve">Attn: </w:t>
            </w:r>
            <w:r w:rsidR="00AC1A4F">
              <w:rPr>
                <w:sz w:val="20"/>
              </w:rPr>
              <w:t xml:space="preserve"> </w:t>
            </w:r>
            <w:r w:rsidRPr="003E7FFC">
              <w:rPr>
                <w:sz w:val="20"/>
                <w:u w:val="single"/>
              </w:rPr>
              <w:tab/>
            </w:r>
            <w:r w:rsidRPr="003E7FFC">
              <w:rPr>
                <w:sz w:val="20"/>
              </w:rPr>
              <w:br/>
              <w:t xml:space="preserve">Phone: </w:t>
            </w:r>
            <w:r w:rsidR="00AC1A4F">
              <w:rPr>
                <w:sz w:val="20"/>
              </w:rPr>
              <w:t xml:space="preserve"> </w:t>
            </w:r>
            <w:r w:rsidRPr="003E7FFC">
              <w:rPr>
                <w:sz w:val="20"/>
                <w:u w:val="single"/>
              </w:rPr>
              <w:tab/>
            </w:r>
          </w:p>
          <w:p w:rsidR="00B00A8D" w:rsidRPr="003E7FFC" w:rsidRDefault="002B31D1" w:rsidP="002B31D1">
            <w:pPr>
              <w:tabs>
                <w:tab w:val="right" w:pos="4475"/>
              </w:tabs>
              <w:ind w:left="441"/>
              <w:rPr>
                <w:sz w:val="20"/>
              </w:rPr>
            </w:pPr>
            <w:r w:rsidRPr="003E7FFC">
              <w:rPr>
                <w:sz w:val="20"/>
              </w:rPr>
              <w:t xml:space="preserve">E-mail: </w:t>
            </w:r>
            <w:r w:rsidR="00AC1A4F">
              <w:rPr>
                <w:sz w:val="20"/>
              </w:rPr>
              <w:t xml:space="preserve"> </w:t>
            </w:r>
            <w:r w:rsidR="00AC1A4F" w:rsidRPr="003E7FFC">
              <w:rPr>
                <w:sz w:val="20"/>
                <w:u w:val="single"/>
              </w:rPr>
              <w:tab/>
            </w:r>
          </w:p>
        </w:tc>
      </w:tr>
      <w:permEnd w:id="2143435235"/>
    </w:tbl>
    <w:p w:rsidR="007130CD" w:rsidRPr="003E7FFC" w:rsidRDefault="007130CD">
      <w:pPr>
        <w:rPr>
          <w:sz w:val="2"/>
          <w:szCs w:val="2"/>
        </w:rPr>
      </w:pPr>
      <w:r w:rsidRPr="003E7FFC">
        <w:rPr>
          <w:sz w:val="20"/>
        </w:rPr>
        <w:br w:type="page"/>
      </w:r>
    </w:p>
    <w:p w:rsidR="007130CD" w:rsidRPr="003E7FFC" w:rsidRDefault="007130CD">
      <w:pPr>
        <w:pStyle w:val="coverbody"/>
        <w:spacing w:after="0"/>
      </w:pPr>
      <w:r w:rsidRPr="003E7FFC">
        <w:lastRenderedPageBreak/>
        <w:t>The Parties hereby agree that the General Terms and Conditions are incorporated herein, and to the following provisions as provided for in the General Terms and Conditions:</w:t>
      </w:r>
    </w:p>
    <w:p w:rsidR="007130CD" w:rsidRPr="003E7FFC" w:rsidRDefault="007130CD">
      <w:pPr>
        <w:pStyle w:val="coverbody"/>
        <w:tabs>
          <w:tab w:val="left" w:pos="1620"/>
          <w:tab w:val="right" w:pos="3780"/>
          <w:tab w:val="left" w:pos="4140"/>
          <w:tab w:val="right" w:pos="6300"/>
          <w:tab w:val="left" w:pos="6660"/>
          <w:tab w:val="right" w:pos="9360"/>
        </w:tabs>
      </w:pPr>
      <w:r w:rsidRPr="003E7FFC">
        <w:t>Party A Tariff</w:t>
      </w:r>
      <w:r w:rsidRPr="003E7FFC">
        <w:tab/>
      </w:r>
      <w:proofErr w:type="spellStart"/>
      <w:r w:rsidRPr="003E7FFC">
        <w:t>Tariff</w:t>
      </w:r>
      <w:proofErr w:type="spellEnd"/>
      <w:r w:rsidRPr="003E7FFC">
        <w:t xml:space="preserve"> </w:t>
      </w:r>
      <w:r w:rsidRPr="003E7FFC">
        <w:rPr>
          <w:u w:val="single"/>
        </w:rPr>
        <w:tab/>
      </w:r>
      <w:r w:rsidRPr="003E7FFC">
        <w:tab/>
        <w:t xml:space="preserve">Dated </w:t>
      </w:r>
      <w:r w:rsidRPr="003E7FFC">
        <w:rPr>
          <w:u w:val="single"/>
        </w:rPr>
        <w:tab/>
      </w:r>
      <w:r w:rsidRPr="003E7FFC">
        <w:tab/>
        <w:t xml:space="preserve">Docket Number </w:t>
      </w:r>
      <w:r w:rsidRPr="003E7FFC">
        <w:rPr>
          <w:u w:val="single"/>
        </w:rPr>
        <w:tab/>
      </w:r>
    </w:p>
    <w:p w:rsidR="007130CD" w:rsidRPr="003E7FFC" w:rsidRDefault="007130CD">
      <w:pPr>
        <w:pStyle w:val="coverbody"/>
        <w:tabs>
          <w:tab w:val="left" w:pos="1620"/>
          <w:tab w:val="right" w:pos="3780"/>
          <w:tab w:val="left" w:pos="4140"/>
          <w:tab w:val="right" w:pos="6300"/>
          <w:tab w:val="left" w:pos="6660"/>
          <w:tab w:val="right" w:pos="9360"/>
        </w:tabs>
      </w:pPr>
      <w:r w:rsidRPr="003E7FFC">
        <w:t>Party B Tariff</w:t>
      </w:r>
      <w:r w:rsidRPr="003E7FFC">
        <w:tab/>
      </w:r>
      <w:proofErr w:type="spellStart"/>
      <w:r w:rsidRPr="003E7FFC">
        <w:t>Tariff</w:t>
      </w:r>
      <w:proofErr w:type="spellEnd"/>
      <w:r w:rsidRPr="003E7FFC">
        <w:t xml:space="preserve"> </w:t>
      </w:r>
      <w:r w:rsidRPr="003E7FFC">
        <w:rPr>
          <w:u w:val="single"/>
        </w:rPr>
        <w:tab/>
      </w:r>
      <w:r w:rsidRPr="003E7FFC">
        <w:tab/>
        <w:t xml:space="preserve">Dated </w:t>
      </w:r>
      <w:r w:rsidRPr="003E7FFC">
        <w:rPr>
          <w:u w:val="single"/>
        </w:rPr>
        <w:tab/>
      </w:r>
      <w:r w:rsidRPr="003E7FFC">
        <w:tab/>
        <w:t xml:space="preserve">Docket Number </w:t>
      </w:r>
      <w:r w:rsidRPr="003E7FFC">
        <w:rPr>
          <w:u w:val="single"/>
        </w:rPr>
        <w:tab/>
      </w:r>
    </w:p>
    <w:tbl>
      <w:tblPr>
        <w:tblW w:w="10206" w:type="dxa"/>
        <w:tblLayout w:type="fixed"/>
        <w:tblLook w:val="0000" w:firstRow="0" w:lastRow="0" w:firstColumn="0" w:lastColumn="0" w:noHBand="0" w:noVBand="0"/>
      </w:tblPr>
      <w:tblGrid>
        <w:gridCol w:w="2913"/>
        <w:gridCol w:w="435"/>
        <w:gridCol w:w="2557"/>
        <w:gridCol w:w="187"/>
        <w:gridCol w:w="3720"/>
        <w:gridCol w:w="20"/>
        <w:gridCol w:w="374"/>
      </w:tblGrid>
      <w:tr w:rsidR="007130CD" w:rsidRPr="003E7FFC" w:rsidTr="00630B2F">
        <w:trPr>
          <w:gridAfter w:val="1"/>
          <w:wAfter w:w="374" w:type="dxa"/>
        </w:trPr>
        <w:tc>
          <w:tcPr>
            <w:tcW w:w="2913" w:type="dxa"/>
            <w:tcBorders>
              <w:top w:val="single" w:sz="6" w:space="0" w:color="auto"/>
            </w:tcBorders>
          </w:tcPr>
          <w:p w:rsidR="007130CD" w:rsidRPr="003E7FFC" w:rsidRDefault="007130CD">
            <w:pPr>
              <w:spacing w:before="120" w:after="120"/>
              <w:rPr>
                <w:b/>
                <w:sz w:val="20"/>
                <w:u w:val="single"/>
              </w:rPr>
            </w:pPr>
            <w:r w:rsidRPr="003E7FFC">
              <w:rPr>
                <w:b/>
                <w:sz w:val="20"/>
                <w:u w:val="single"/>
              </w:rPr>
              <w:t xml:space="preserve">Article </w:t>
            </w:r>
            <w:r w:rsidRPr="003E7FFC">
              <w:rPr>
                <w:rStyle w:val="ParaNum"/>
                <w:b/>
                <w:sz w:val="20"/>
                <w:u w:val="single"/>
              </w:rPr>
              <w:t>Tw</w:t>
            </w:r>
            <w:r w:rsidRPr="003E7FFC">
              <w:rPr>
                <w:b/>
                <w:sz w:val="20"/>
                <w:u w:val="single"/>
              </w:rPr>
              <w:t>o</w:t>
            </w:r>
          </w:p>
        </w:tc>
        <w:tc>
          <w:tcPr>
            <w:tcW w:w="6919" w:type="dxa"/>
            <w:gridSpan w:val="5"/>
            <w:tcBorders>
              <w:top w:val="single" w:sz="6" w:space="0" w:color="auto"/>
            </w:tcBorders>
          </w:tcPr>
          <w:p w:rsidR="007130CD" w:rsidRPr="003E7FFC" w:rsidRDefault="007130CD">
            <w:pPr>
              <w:spacing w:before="120" w:after="120"/>
              <w:rPr>
                <w:sz w:val="20"/>
              </w:rPr>
            </w:pPr>
          </w:p>
        </w:tc>
      </w:tr>
      <w:tr w:rsidR="007130CD" w:rsidRPr="003E7FFC" w:rsidTr="00630B2F">
        <w:trPr>
          <w:gridAfter w:val="1"/>
          <w:wAfter w:w="374" w:type="dxa"/>
        </w:trPr>
        <w:tc>
          <w:tcPr>
            <w:tcW w:w="2913" w:type="dxa"/>
          </w:tcPr>
          <w:p w:rsidR="007130CD" w:rsidRPr="003E7FFC" w:rsidRDefault="007130CD">
            <w:pPr>
              <w:spacing w:after="200"/>
              <w:rPr>
                <w:sz w:val="20"/>
              </w:rPr>
            </w:pPr>
            <w:r w:rsidRPr="003E7FFC">
              <w:rPr>
                <w:sz w:val="20"/>
              </w:rPr>
              <w:t>Transaction Terms and Conditions</w:t>
            </w:r>
          </w:p>
        </w:tc>
        <w:tc>
          <w:tcPr>
            <w:tcW w:w="6919" w:type="dxa"/>
            <w:gridSpan w:val="5"/>
          </w:tcPr>
          <w:p w:rsidR="007130CD" w:rsidRPr="003E7FFC" w:rsidRDefault="007130CD">
            <w:pPr>
              <w:spacing w:after="200"/>
              <w:rPr>
                <w:sz w:val="20"/>
              </w:rPr>
            </w:pPr>
            <w:proofErr w:type="gramStart"/>
            <w:r w:rsidRPr="003E7FFC">
              <w:rPr>
                <w:sz w:val="20"/>
              </w:rPr>
              <w:t>[]  Optional</w:t>
            </w:r>
            <w:proofErr w:type="gramEnd"/>
            <w:r w:rsidR="002B35C9">
              <w:rPr>
                <w:sz w:val="20"/>
              </w:rPr>
              <w:t xml:space="preserve"> provision in Section 2.4.  </w:t>
            </w:r>
            <w:r w:rsidRPr="003E7FFC">
              <w:rPr>
                <w:sz w:val="20"/>
              </w:rPr>
              <w:t>If not checked, inapplicable.</w:t>
            </w:r>
          </w:p>
        </w:tc>
      </w:tr>
      <w:tr w:rsidR="007130CD" w:rsidRPr="003E7FFC" w:rsidTr="00630B2F">
        <w:trPr>
          <w:gridAfter w:val="1"/>
          <w:wAfter w:w="374" w:type="dxa"/>
        </w:trPr>
        <w:tc>
          <w:tcPr>
            <w:tcW w:w="2913" w:type="dxa"/>
            <w:tcBorders>
              <w:top w:val="single" w:sz="6" w:space="0" w:color="auto"/>
            </w:tcBorders>
          </w:tcPr>
          <w:p w:rsidR="007130CD" w:rsidRPr="003E7FFC" w:rsidRDefault="007130CD">
            <w:pPr>
              <w:spacing w:before="120" w:after="120"/>
              <w:rPr>
                <w:b/>
                <w:sz w:val="20"/>
                <w:u w:val="single"/>
              </w:rPr>
            </w:pPr>
            <w:r w:rsidRPr="003E7FFC">
              <w:rPr>
                <w:b/>
                <w:sz w:val="20"/>
                <w:u w:val="single"/>
              </w:rPr>
              <w:t xml:space="preserve">Article </w:t>
            </w:r>
            <w:r w:rsidRPr="003E7FFC">
              <w:rPr>
                <w:rStyle w:val="ParaNum"/>
                <w:b/>
                <w:sz w:val="20"/>
                <w:u w:val="single"/>
              </w:rPr>
              <w:t>Fo</w:t>
            </w:r>
            <w:r w:rsidRPr="003E7FFC">
              <w:rPr>
                <w:b/>
                <w:sz w:val="20"/>
                <w:u w:val="single"/>
              </w:rPr>
              <w:t>ur</w:t>
            </w:r>
          </w:p>
        </w:tc>
        <w:tc>
          <w:tcPr>
            <w:tcW w:w="6919" w:type="dxa"/>
            <w:gridSpan w:val="5"/>
            <w:tcBorders>
              <w:top w:val="single" w:sz="6" w:space="0" w:color="auto"/>
            </w:tcBorders>
          </w:tcPr>
          <w:p w:rsidR="007130CD" w:rsidRPr="003E7FFC" w:rsidRDefault="007130CD">
            <w:pPr>
              <w:spacing w:before="120" w:after="120"/>
              <w:rPr>
                <w:sz w:val="20"/>
              </w:rPr>
            </w:pPr>
          </w:p>
        </w:tc>
      </w:tr>
      <w:tr w:rsidR="007130CD" w:rsidRPr="003E7FFC" w:rsidTr="00630B2F">
        <w:trPr>
          <w:gridAfter w:val="1"/>
          <w:wAfter w:w="374" w:type="dxa"/>
        </w:trPr>
        <w:tc>
          <w:tcPr>
            <w:tcW w:w="2913" w:type="dxa"/>
          </w:tcPr>
          <w:p w:rsidR="007130CD" w:rsidRPr="003E7FFC" w:rsidRDefault="007130CD">
            <w:pPr>
              <w:spacing w:after="200"/>
              <w:rPr>
                <w:sz w:val="20"/>
                <w:u w:val="single"/>
              </w:rPr>
            </w:pPr>
            <w:r w:rsidRPr="003E7FFC">
              <w:rPr>
                <w:sz w:val="20"/>
              </w:rPr>
              <w:t xml:space="preserve">Remedies for Failure </w:t>
            </w:r>
            <w:r w:rsidRPr="003E7FFC">
              <w:rPr>
                <w:sz w:val="20"/>
              </w:rPr>
              <w:br/>
              <w:t>to Deliver or Receive</w:t>
            </w:r>
          </w:p>
        </w:tc>
        <w:tc>
          <w:tcPr>
            <w:tcW w:w="6919" w:type="dxa"/>
            <w:gridSpan w:val="5"/>
          </w:tcPr>
          <w:p w:rsidR="007130CD" w:rsidRPr="003E7FFC" w:rsidRDefault="007130CD">
            <w:pPr>
              <w:spacing w:after="200"/>
              <w:rPr>
                <w:sz w:val="20"/>
              </w:rPr>
            </w:pPr>
            <w:r w:rsidRPr="003E7FFC">
              <w:rPr>
                <w:sz w:val="20"/>
              </w:rPr>
              <w:t>[X</w:t>
            </w:r>
            <w:proofErr w:type="gramStart"/>
            <w:r w:rsidRPr="003E7FFC">
              <w:rPr>
                <w:sz w:val="20"/>
              </w:rPr>
              <w:t>]  Accelerated</w:t>
            </w:r>
            <w:proofErr w:type="gramEnd"/>
            <w:r w:rsidRPr="003E7FFC">
              <w:rPr>
                <w:sz w:val="20"/>
              </w:rPr>
              <w:t xml:space="preserve"> Payment of Damages</w:t>
            </w:r>
            <w:r w:rsidR="002B35C9">
              <w:rPr>
                <w:sz w:val="20"/>
              </w:rPr>
              <w:t xml:space="preserve">.  </w:t>
            </w:r>
            <w:r w:rsidRPr="003E7FFC">
              <w:rPr>
                <w:sz w:val="20"/>
              </w:rPr>
              <w:t>If not checked, inapplicable.</w:t>
            </w:r>
          </w:p>
        </w:tc>
      </w:tr>
      <w:tr w:rsidR="007130CD" w:rsidRPr="003E7FFC" w:rsidTr="00630B2F">
        <w:trPr>
          <w:gridAfter w:val="1"/>
          <w:wAfter w:w="374" w:type="dxa"/>
        </w:trPr>
        <w:tc>
          <w:tcPr>
            <w:tcW w:w="2913" w:type="dxa"/>
            <w:tcBorders>
              <w:top w:val="single" w:sz="6" w:space="0" w:color="auto"/>
            </w:tcBorders>
          </w:tcPr>
          <w:p w:rsidR="007130CD" w:rsidRPr="003E7FFC" w:rsidRDefault="007130CD">
            <w:pPr>
              <w:spacing w:before="120" w:after="120"/>
              <w:rPr>
                <w:b/>
                <w:sz w:val="20"/>
                <w:u w:val="single"/>
              </w:rPr>
            </w:pPr>
            <w:r w:rsidRPr="003E7FFC">
              <w:rPr>
                <w:b/>
                <w:sz w:val="20"/>
                <w:u w:val="single"/>
              </w:rPr>
              <w:t xml:space="preserve">Article </w:t>
            </w:r>
            <w:r w:rsidRPr="003E7FFC">
              <w:rPr>
                <w:rStyle w:val="ParaNum"/>
                <w:b/>
                <w:sz w:val="20"/>
                <w:u w:val="single"/>
              </w:rPr>
              <w:t>Fi</w:t>
            </w:r>
            <w:r w:rsidRPr="003E7FFC">
              <w:rPr>
                <w:b/>
                <w:sz w:val="20"/>
                <w:u w:val="single"/>
              </w:rPr>
              <w:t>ve</w:t>
            </w:r>
          </w:p>
        </w:tc>
        <w:tc>
          <w:tcPr>
            <w:tcW w:w="6919" w:type="dxa"/>
            <w:gridSpan w:val="5"/>
            <w:tcBorders>
              <w:top w:val="single" w:sz="6" w:space="0" w:color="auto"/>
            </w:tcBorders>
          </w:tcPr>
          <w:p w:rsidR="007130CD" w:rsidRPr="003E7FFC" w:rsidRDefault="007130CD">
            <w:pPr>
              <w:spacing w:before="120" w:after="120"/>
              <w:rPr>
                <w:sz w:val="20"/>
              </w:rPr>
            </w:pPr>
            <w:r w:rsidRPr="003E7FFC">
              <w:rPr>
                <w:sz w:val="20"/>
              </w:rPr>
              <w:t>[X</w:t>
            </w:r>
            <w:proofErr w:type="gramStart"/>
            <w:r w:rsidRPr="003E7FFC">
              <w:rPr>
                <w:sz w:val="20"/>
              </w:rPr>
              <w:t>]  Cross</w:t>
            </w:r>
            <w:proofErr w:type="gramEnd"/>
            <w:r w:rsidRPr="003E7FFC">
              <w:rPr>
                <w:sz w:val="20"/>
              </w:rPr>
              <w:t xml:space="preserve"> Default for Party A:</w:t>
            </w:r>
          </w:p>
        </w:tc>
      </w:tr>
      <w:tr w:rsidR="007130CD" w:rsidRPr="003E7FFC" w:rsidTr="00DF0C96">
        <w:trPr>
          <w:gridAfter w:val="2"/>
          <w:wAfter w:w="394" w:type="dxa"/>
          <w:cantSplit/>
        </w:trPr>
        <w:tc>
          <w:tcPr>
            <w:tcW w:w="2913" w:type="dxa"/>
          </w:tcPr>
          <w:p w:rsidR="007130CD" w:rsidRPr="003E7FFC" w:rsidRDefault="007130CD">
            <w:pPr>
              <w:spacing w:after="200"/>
              <w:rPr>
                <w:sz w:val="20"/>
                <w:u w:val="single"/>
              </w:rPr>
            </w:pPr>
            <w:r w:rsidRPr="003E7FFC">
              <w:rPr>
                <w:sz w:val="20"/>
              </w:rPr>
              <w:t>Events of Default; Remedies</w:t>
            </w:r>
          </w:p>
        </w:tc>
        <w:tc>
          <w:tcPr>
            <w:tcW w:w="3179" w:type="dxa"/>
            <w:gridSpan w:val="3"/>
          </w:tcPr>
          <w:p w:rsidR="007130CD" w:rsidRPr="003E7FFC" w:rsidRDefault="007130CD">
            <w:pPr>
              <w:tabs>
                <w:tab w:val="right" w:pos="2673"/>
              </w:tabs>
              <w:spacing w:after="200"/>
              <w:rPr>
                <w:sz w:val="20"/>
              </w:rPr>
            </w:pPr>
            <w:proofErr w:type="gramStart"/>
            <w:r w:rsidRPr="003E7FFC">
              <w:rPr>
                <w:sz w:val="20"/>
              </w:rPr>
              <w:t>[]  Party</w:t>
            </w:r>
            <w:proofErr w:type="gramEnd"/>
            <w:r w:rsidRPr="003E7FFC">
              <w:rPr>
                <w:sz w:val="20"/>
              </w:rPr>
              <w:t xml:space="preserve"> A (check this only if Party A has no Guarantor):</w:t>
            </w:r>
            <w:r w:rsidRPr="003E7FFC">
              <w:rPr>
                <w:sz w:val="20"/>
                <w:u w:val="single"/>
              </w:rPr>
              <w:tab/>
            </w:r>
          </w:p>
        </w:tc>
        <w:tc>
          <w:tcPr>
            <w:tcW w:w="3720" w:type="dxa"/>
          </w:tcPr>
          <w:p w:rsidR="007130CD" w:rsidRPr="003E7FFC" w:rsidRDefault="007130CD">
            <w:pPr>
              <w:tabs>
                <w:tab w:val="right" w:pos="2844"/>
              </w:tabs>
              <w:spacing w:after="200"/>
              <w:rPr>
                <w:sz w:val="20"/>
              </w:rPr>
            </w:pPr>
            <w:r w:rsidRPr="003E7FFC">
              <w:rPr>
                <w:sz w:val="20"/>
              </w:rPr>
              <w:t>Cross Default Amount $</w:t>
            </w:r>
            <w:r w:rsidRPr="003E7FFC">
              <w:rPr>
                <w:sz w:val="20"/>
                <w:u w:val="single"/>
              </w:rPr>
              <w:t>50,000,000</w:t>
            </w:r>
            <w:r w:rsidRPr="003E7FFC">
              <w:rPr>
                <w:sz w:val="20"/>
                <w:u w:val="single"/>
              </w:rPr>
              <w:tab/>
            </w:r>
          </w:p>
        </w:tc>
      </w:tr>
      <w:tr w:rsidR="007130CD" w:rsidRPr="003E7FFC" w:rsidTr="00DF0C96">
        <w:trPr>
          <w:gridAfter w:val="2"/>
          <w:wAfter w:w="394" w:type="dxa"/>
          <w:cantSplit/>
        </w:trPr>
        <w:tc>
          <w:tcPr>
            <w:tcW w:w="2913" w:type="dxa"/>
          </w:tcPr>
          <w:p w:rsidR="007130CD" w:rsidRPr="003E7FFC" w:rsidRDefault="007130CD">
            <w:pPr>
              <w:spacing w:after="200"/>
              <w:rPr>
                <w:sz w:val="20"/>
                <w:u w:val="single"/>
              </w:rPr>
            </w:pPr>
          </w:p>
        </w:tc>
        <w:tc>
          <w:tcPr>
            <w:tcW w:w="3179" w:type="dxa"/>
            <w:gridSpan w:val="3"/>
          </w:tcPr>
          <w:p w:rsidR="007130CD" w:rsidRPr="003E7FFC" w:rsidRDefault="007130CD">
            <w:pPr>
              <w:tabs>
                <w:tab w:val="right" w:pos="2673"/>
              </w:tabs>
              <w:spacing w:after="200"/>
              <w:rPr>
                <w:sz w:val="20"/>
              </w:rPr>
            </w:pPr>
            <w:proofErr w:type="gramStart"/>
            <w:r w:rsidRPr="003E7FFC">
              <w:rPr>
                <w:sz w:val="20"/>
              </w:rPr>
              <w:t>[]  Other</w:t>
            </w:r>
            <w:proofErr w:type="gramEnd"/>
            <w:r w:rsidRPr="003E7FFC">
              <w:rPr>
                <w:sz w:val="20"/>
              </w:rPr>
              <w:t xml:space="preserve"> Entity (check this if Party A has a Guarantor): </w:t>
            </w:r>
            <w:r w:rsidRPr="003E7FFC">
              <w:rPr>
                <w:sz w:val="20"/>
                <w:u w:val="single"/>
              </w:rPr>
              <w:t>Party A</w:t>
            </w:r>
            <w:r w:rsidR="00A34C9E">
              <w:rPr>
                <w:sz w:val="20"/>
                <w:u w:val="single"/>
              </w:rPr>
              <w:t>’</w:t>
            </w:r>
            <w:r w:rsidRPr="003E7FFC">
              <w:rPr>
                <w:sz w:val="20"/>
                <w:u w:val="single"/>
              </w:rPr>
              <w:t>s Guarantor</w:t>
            </w:r>
            <w:r w:rsidRPr="003E7FFC">
              <w:rPr>
                <w:sz w:val="20"/>
              </w:rPr>
              <w:t>.</w:t>
            </w:r>
          </w:p>
        </w:tc>
        <w:tc>
          <w:tcPr>
            <w:tcW w:w="3720" w:type="dxa"/>
          </w:tcPr>
          <w:p w:rsidR="007130CD" w:rsidRPr="003E7FFC" w:rsidRDefault="007130CD">
            <w:pPr>
              <w:tabs>
                <w:tab w:val="right" w:pos="2844"/>
              </w:tabs>
              <w:spacing w:after="200"/>
              <w:rPr>
                <w:sz w:val="20"/>
              </w:rPr>
            </w:pPr>
            <w:r w:rsidRPr="003E7FFC">
              <w:rPr>
                <w:sz w:val="20"/>
              </w:rPr>
              <w:t>Cross Default Amount $</w:t>
            </w:r>
            <w:r w:rsidRPr="003E7FFC">
              <w:rPr>
                <w:sz w:val="20"/>
                <w:u w:val="single"/>
              </w:rPr>
              <w:t>50,000,000</w:t>
            </w:r>
            <w:r w:rsidRPr="003E7FFC">
              <w:rPr>
                <w:sz w:val="20"/>
                <w:u w:val="single"/>
              </w:rPr>
              <w:tab/>
            </w:r>
          </w:p>
        </w:tc>
      </w:tr>
      <w:tr w:rsidR="007130CD" w:rsidRPr="003E7FFC" w:rsidTr="00630B2F">
        <w:trPr>
          <w:gridAfter w:val="2"/>
          <w:wAfter w:w="394" w:type="dxa"/>
          <w:cantSplit/>
        </w:trPr>
        <w:tc>
          <w:tcPr>
            <w:tcW w:w="2913" w:type="dxa"/>
          </w:tcPr>
          <w:p w:rsidR="007130CD" w:rsidRPr="003E7FFC" w:rsidRDefault="007130CD">
            <w:pPr>
              <w:spacing w:after="200"/>
              <w:rPr>
                <w:sz w:val="20"/>
                <w:u w:val="single"/>
              </w:rPr>
            </w:pPr>
          </w:p>
        </w:tc>
        <w:tc>
          <w:tcPr>
            <w:tcW w:w="3179" w:type="dxa"/>
            <w:gridSpan w:val="3"/>
          </w:tcPr>
          <w:p w:rsidR="007130CD" w:rsidRPr="003E7FFC" w:rsidRDefault="007130CD">
            <w:pPr>
              <w:tabs>
                <w:tab w:val="right" w:pos="2673"/>
              </w:tabs>
              <w:spacing w:after="200"/>
              <w:rPr>
                <w:sz w:val="20"/>
              </w:rPr>
            </w:pPr>
            <w:r w:rsidRPr="003E7FFC">
              <w:rPr>
                <w:sz w:val="20"/>
              </w:rPr>
              <w:t>[X</w:t>
            </w:r>
            <w:proofErr w:type="gramStart"/>
            <w:r w:rsidRPr="003E7FFC">
              <w:rPr>
                <w:sz w:val="20"/>
              </w:rPr>
              <w:t>]  Cross</w:t>
            </w:r>
            <w:proofErr w:type="gramEnd"/>
            <w:r w:rsidRPr="003E7FFC">
              <w:rPr>
                <w:sz w:val="20"/>
              </w:rPr>
              <w:t xml:space="preserve"> Default for Party B:</w:t>
            </w:r>
          </w:p>
        </w:tc>
        <w:tc>
          <w:tcPr>
            <w:tcW w:w="3720" w:type="dxa"/>
          </w:tcPr>
          <w:p w:rsidR="007130CD" w:rsidRPr="003E7FFC" w:rsidRDefault="007130CD">
            <w:pPr>
              <w:tabs>
                <w:tab w:val="right" w:pos="2844"/>
              </w:tabs>
              <w:spacing w:after="200"/>
              <w:rPr>
                <w:sz w:val="20"/>
              </w:rPr>
            </w:pPr>
          </w:p>
        </w:tc>
      </w:tr>
      <w:tr w:rsidR="007130CD" w:rsidRPr="003E7FFC" w:rsidTr="000053FC">
        <w:trPr>
          <w:gridAfter w:val="2"/>
          <w:wAfter w:w="394" w:type="dxa"/>
          <w:cantSplit/>
          <w:trHeight w:val="496"/>
        </w:trPr>
        <w:tc>
          <w:tcPr>
            <w:tcW w:w="2913" w:type="dxa"/>
          </w:tcPr>
          <w:p w:rsidR="007130CD" w:rsidRPr="003E7FFC" w:rsidRDefault="007130CD">
            <w:pPr>
              <w:spacing w:after="200"/>
              <w:rPr>
                <w:sz w:val="20"/>
                <w:u w:val="single"/>
              </w:rPr>
            </w:pPr>
          </w:p>
        </w:tc>
        <w:tc>
          <w:tcPr>
            <w:tcW w:w="3179" w:type="dxa"/>
            <w:gridSpan w:val="3"/>
          </w:tcPr>
          <w:p w:rsidR="007130CD" w:rsidRPr="003E7FFC" w:rsidRDefault="007130CD">
            <w:pPr>
              <w:tabs>
                <w:tab w:val="right" w:pos="2673"/>
              </w:tabs>
              <w:spacing w:after="200"/>
              <w:rPr>
                <w:sz w:val="20"/>
              </w:rPr>
            </w:pPr>
            <w:r w:rsidRPr="003E7FFC">
              <w:rPr>
                <w:sz w:val="20"/>
              </w:rPr>
              <w:t>[X</w:t>
            </w:r>
            <w:proofErr w:type="gramStart"/>
            <w:r w:rsidRPr="003E7FFC">
              <w:rPr>
                <w:sz w:val="20"/>
              </w:rPr>
              <w:t>]  Party</w:t>
            </w:r>
            <w:proofErr w:type="gramEnd"/>
            <w:r w:rsidRPr="003E7FFC">
              <w:rPr>
                <w:sz w:val="20"/>
              </w:rPr>
              <w:t xml:space="preserve"> B:</w:t>
            </w:r>
            <w:r w:rsidRPr="003E7FFC">
              <w:rPr>
                <w:sz w:val="20"/>
                <w:u w:val="single"/>
              </w:rPr>
              <w:tab/>
            </w:r>
          </w:p>
        </w:tc>
        <w:tc>
          <w:tcPr>
            <w:tcW w:w="3720" w:type="dxa"/>
          </w:tcPr>
          <w:p w:rsidR="00935190" w:rsidRDefault="007130CD">
            <w:pPr>
              <w:tabs>
                <w:tab w:val="right" w:pos="2844"/>
              </w:tabs>
              <w:spacing w:after="200"/>
              <w:rPr>
                <w:sz w:val="20"/>
                <w:u w:val="single"/>
              </w:rPr>
            </w:pPr>
            <w:r w:rsidRPr="003E7FFC">
              <w:rPr>
                <w:sz w:val="20"/>
              </w:rPr>
              <w:t>Cross Default Amount $</w:t>
            </w:r>
            <w:r w:rsidRPr="003E7FFC">
              <w:rPr>
                <w:sz w:val="20"/>
                <w:u w:val="single"/>
              </w:rPr>
              <w:t>50,000,000</w:t>
            </w:r>
            <w:r w:rsidRPr="003E7FFC">
              <w:rPr>
                <w:sz w:val="20"/>
                <w:u w:val="single"/>
              </w:rPr>
              <w:tab/>
            </w:r>
          </w:p>
          <w:p w:rsidR="00A634B5" w:rsidRPr="000053FC" w:rsidRDefault="00A634B5">
            <w:pPr>
              <w:tabs>
                <w:tab w:val="right" w:pos="2844"/>
              </w:tabs>
              <w:spacing w:after="200"/>
              <w:rPr>
                <w:sz w:val="20"/>
                <w:u w:val="single"/>
              </w:rPr>
            </w:pPr>
          </w:p>
        </w:tc>
      </w:tr>
      <w:tr w:rsidR="007130CD" w:rsidRPr="003E7FFC" w:rsidTr="00630B2F">
        <w:trPr>
          <w:gridAfter w:val="2"/>
          <w:wAfter w:w="394" w:type="dxa"/>
          <w:cantSplit/>
        </w:trPr>
        <w:tc>
          <w:tcPr>
            <w:tcW w:w="2913" w:type="dxa"/>
          </w:tcPr>
          <w:p w:rsidR="007130CD" w:rsidRPr="003E7FFC" w:rsidRDefault="007130CD">
            <w:pPr>
              <w:spacing w:after="200"/>
              <w:rPr>
                <w:sz w:val="20"/>
                <w:u w:val="single"/>
              </w:rPr>
            </w:pPr>
          </w:p>
        </w:tc>
        <w:tc>
          <w:tcPr>
            <w:tcW w:w="3179" w:type="dxa"/>
            <w:gridSpan w:val="3"/>
          </w:tcPr>
          <w:p w:rsidR="007130CD" w:rsidRPr="003E7FFC" w:rsidRDefault="007130CD">
            <w:pPr>
              <w:tabs>
                <w:tab w:val="right" w:pos="2673"/>
              </w:tabs>
              <w:spacing w:after="200"/>
              <w:rPr>
                <w:sz w:val="20"/>
              </w:rPr>
            </w:pPr>
            <w:proofErr w:type="gramStart"/>
            <w:r w:rsidRPr="003E7FFC">
              <w:rPr>
                <w:sz w:val="20"/>
              </w:rPr>
              <w:t>[]  Other</w:t>
            </w:r>
            <w:proofErr w:type="gramEnd"/>
            <w:r w:rsidRPr="003E7FFC">
              <w:rPr>
                <w:sz w:val="20"/>
              </w:rPr>
              <w:t xml:space="preserve"> Entity:</w:t>
            </w:r>
            <w:r w:rsidRPr="003E7FFC">
              <w:rPr>
                <w:sz w:val="20"/>
                <w:u w:val="single"/>
              </w:rPr>
              <w:tab/>
            </w:r>
          </w:p>
        </w:tc>
        <w:tc>
          <w:tcPr>
            <w:tcW w:w="3720" w:type="dxa"/>
          </w:tcPr>
          <w:p w:rsidR="007130CD" w:rsidRPr="003E7FFC" w:rsidRDefault="007130CD">
            <w:pPr>
              <w:tabs>
                <w:tab w:val="right" w:pos="2844"/>
              </w:tabs>
              <w:spacing w:after="200"/>
              <w:rPr>
                <w:sz w:val="20"/>
              </w:rPr>
            </w:pPr>
            <w:r w:rsidRPr="003E7FFC">
              <w:rPr>
                <w:sz w:val="20"/>
              </w:rPr>
              <w:t>Cross Default Amount $</w:t>
            </w:r>
            <w:r w:rsidRPr="003E7FFC">
              <w:rPr>
                <w:sz w:val="20"/>
                <w:u w:val="single"/>
              </w:rPr>
              <w:tab/>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spacing w:after="200"/>
              <w:rPr>
                <w:sz w:val="20"/>
              </w:rPr>
            </w:pPr>
            <w:proofErr w:type="gramStart"/>
            <w:r w:rsidRPr="003E7FFC">
              <w:rPr>
                <w:rStyle w:val="ParaNum"/>
                <w:sz w:val="20"/>
              </w:rPr>
              <w:t>5.6</w:t>
            </w:r>
            <w:r w:rsidRPr="003E7FFC">
              <w:rPr>
                <w:sz w:val="20"/>
              </w:rPr>
              <w:t xml:space="preserve">  Closeout</w:t>
            </w:r>
            <w:proofErr w:type="gramEnd"/>
            <w:r w:rsidRPr="003E7FFC">
              <w:rPr>
                <w:sz w:val="20"/>
              </w:rPr>
              <w:t xml:space="preserve"> Setoff</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spacing w:after="200"/>
              <w:ind w:left="720" w:hanging="360"/>
              <w:rPr>
                <w:sz w:val="20"/>
              </w:rPr>
            </w:pPr>
            <w:r w:rsidRPr="003E7FFC">
              <w:rPr>
                <w:sz w:val="20"/>
              </w:rPr>
              <w:t>[X]</w:t>
            </w:r>
            <w:r w:rsidRPr="003E7FFC">
              <w:rPr>
                <w:sz w:val="20"/>
              </w:rPr>
              <w:tab/>
              <w:t>Option A (Applicable if no other selection is made.)</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tabs>
                <w:tab w:val="right" w:pos="6012"/>
              </w:tabs>
              <w:spacing w:after="200"/>
              <w:ind w:left="720" w:hanging="360"/>
              <w:rPr>
                <w:sz w:val="20"/>
              </w:rPr>
            </w:pPr>
            <w:r w:rsidRPr="003E7FFC">
              <w:rPr>
                <w:sz w:val="20"/>
              </w:rPr>
              <w:t>[]</w:t>
            </w:r>
            <w:r w:rsidRPr="003E7FFC">
              <w:rPr>
                <w:sz w:val="20"/>
              </w:rPr>
              <w:tab/>
              <w:t>Option B - Affiliates shall have the meaning set forth in the Agreement unless otherwise specified as follows:</w:t>
            </w:r>
            <w:r w:rsidRPr="003E7FFC">
              <w:rPr>
                <w:sz w:val="20"/>
                <w:u w:val="single"/>
              </w:rPr>
              <w:tab/>
            </w:r>
            <w:r w:rsidRPr="003E7FFC">
              <w:rPr>
                <w:sz w:val="20"/>
              </w:rPr>
              <w:br/>
            </w:r>
            <w:r w:rsidRPr="003E7FFC">
              <w:rPr>
                <w:sz w:val="20"/>
                <w:u w:val="single"/>
              </w:rPr>
              <w:tab/>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spacing w:after="200"/>
              <w:ind w:left="720" w:hanging="360"/>
              <w:rPr>
                <w:sz w:val="20"/>
              </w:rPr>
            </w:pPr>
            <w:r w:rsidRPr="003E7FFC">
              <w:rPr>
                <w:sz w:val="20"/>
              </w:rPr>
              <w:t>[]</w:t>
            </w:r>
            <w:r w:rsidRPr="003E7FFC">
              <w:rPr>
                <w:sz w:val="20"/>
              </w:rPr>
              <w:tab/>
              <w:t>Option C (No Setoff)</w:t>
            </w:r>
          </w:p>
        </w:tc>
      </w:tr>
      <w:tr w:rsidR="007130CD" w:rsidRPr="003E7FFC" w:rsidTr="00630B2F">
        <w:trPr>
          <w:gridAfter w:val="1"/>
          <w:wAfter w:w="374" w:type="dxa"/>
        </w:trPr>
        <w:tc>
          <w:tcPr>
            <w:tcW w:w="2913" w:type="dxa"/>
            <w:tcBorders>
              <w:top w:val="single" w:sz="6" w:space="0" w:color="auto"/>
            </w:tcBorders>
          </w:tcPr>
          <w:p w:rsidR="007130CD" w:rsidRPr="003E7FFC" w:rsidRDefault="007130CD">
            <w:pPr>
              <w:spacing w:before="120" w:after="120"/>
              <w:rPr>
                <w:b/>
                <w:sz w:val="20"/>
                <w:u w:val="single"/>
              </w:rPr>
            </w:pPr>
            <w:r w:rsidRPr="003E7FFC">
              <w:rPr>
                <w:b/>
                <w:sz w:val="20"/>
                <w:u w:val="single"/>
              </w:rPr>
              <w:t xml:space="preserve">Article </w:t>
            </w:r>
            <w:r w:rsidRPr="003E7FFC">
              <w:rPr>
                <w:rStyle w:val="ParaNum"/>
                <w:b/>
                <w:sz w:val="20"/>
                <w:u w:val="single"/>
              </w:rPr>
              <w:t>8</w:t>
            </w:r>
          </w:p>
        </w:tc>
        <w:tc>
          <w:tcPr>
            <w:tcW w:w="6919" w:type="dxa"/>
            <w:gridSpan w:val="5"/>
            <w:tcBorders>
              <w:top w:val="single" w:sz="6" w:space="0" w:color="auto"/>
            </w:tcBorders>
          </w:tcPr>
          <w:p w:rsidR="007130CD" w:rsidRPr="003E7FFC" w:rsidRDefault="007130CD">
            <w:pPr>
              <w:spacing w:before="120" w:after="120"/>
              <w:rPr>
                <w:sz w:val="20"/>
              </w:rPr>
            </w:pPr>
            <w:proofErr w:type="gramStart"/>
            <w:r w:rsidRPr="003E7FFC">
              <w:rPr>
                <w:sz w:val="20"/>
              </w:rPr>
              <w:t xml:space="preserve">8.1  </w:t>
            </w:r>
            <w:r w:rsidRPr="003E7FFC">
              <w:rPr>
                <w:sz w:val="20"/>
                <w:u w:val="single"/>
              </w:rPr>
              <w:t>Party</w:t>
            </w:r>
            <w:proofErr w:type="gramEnd"/>
            <w:r w:rsidRPr="003E7FFC">
              <w:rPr>
                <w:sz w:val="20"/>
                <w:u w:val="single"/>
              </w:rPr>
              <w:t xml:space="preserve"> A Credit Protection</w:t>
            </w:r>
            <w:r w:rsidRPr="003E7FFC">
              <w:rPr>
                <w:sz w:val="20"/>
              </w:rPr>
              <w:t>: Collateral Annex and Paragraph 10, as revised herein and with the elections designated in the form attached hereto, shall apply.</w:t>
            </w:r>
          </w:p>
        </w:tc>
      </w:tr>
      <w:tr w:rsidR="007130CD" w:rsidRPr="003E7FFC" w:rsidTr="00630B2F">
        <w:trPr>
          <w:gridAfter w:val="1"/>
          <w:wAfter w:w="374" w:type="dxa"/>
        </w:trPr>
        <w:tc>
          <w:tcPr>
            <w:tcW w:w="2913" w:type="dxa"/>
          </w:tcPr>
          <w:p w:rsidR="007130CD" w:rsidRPr="003E7FFC" w:rsidRDefault="007130CD">
            <w:pPr>
              <w:spacing w:after="120"/>
              <w:rPr>
                <w:sz w:val="20"/>
                <w:u w:val="single"/>
              </w:rPr>
            </w:pPr>
            <w:permStart w:id="273488453" w:edGrp="everyone" w:colFirst="1" w:colLast="1"/>
            <w:r w:rsidRPr="003E7FFC">
              <w:rPr>
                <w:sz w:val="20"/>
              </w:rPr>
              <w:t>Credit and Collateral Requirements</w:t>
            </w:r>
          </w:p>
        </w:tc>
        <w:tc>
          <w:tcPr>
            <w:tcW w:w="6919" w:type="dxa"/>
            <w:gridSpan w:val="5"/>
          </w:tcPr>
          <w:p w:rsidR="007130CD" w:rsidRPr="003E7FFC" w:rsidRDefault="007130CD">
            <w:pPr>
              <w:spacing w:after="120"/>
              <w:ind w:left="720" w:hanging="360"/>
              <w:rPr>
                <w:sz w:val="20"/>
              </w:rPr>
            </w:pPr>
            <w:r w:rsidRPr="003E7FFC">
              <w:rPr>
                <w:rStyle w:val="ParaNum"/>
                <w:sz w:val="20"/>
              </w:rPr>
              <w:t>(a)</w:t>
            </w:r>
            <w:r w:rsidRPr="003E7FFC">
              <w:rPr>
                <w:sz w:val="20"/>
              </w:rPr>
              <w:t xml:space="preserve">  Financial Information:</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ermStart w:id="435166400" w:edGrp="everyone" w:colFirst="1" w:colLast="1"/>
            <w:permEnd w:id="273488453"/>
          </w:p>
        </w:tc>
        <w:tc>
          <w:tcPr>
            <w:tcW w:w="6919" w:type="dxa"/>
            <w:gridSpan w:val="5"/>
          </w:tcPr>
          <w:p w:rsidR="007130CD" w:rsidRPr="003E7FFC" w:rsidRDefault="007130CD">
            <w:pPr>
              <w:tabs>
                <w:tab w:val="left" w:pos="1332"/>
                <w:tab w:val="right" w:pos="4572"/>
              </w:tabs>
              <w:spacing w:after="200"/>
              <w:ind w:left="972"/>
              <w:rPr>
                <w:sz w:val="20"/>
              </w:rPr>
            </w:pPr>
            <w:r w:rsidRPr="003E7FFC">
              <w:rPr>
                <w:sz w:val="20"/>
              </w:rPr>
              <w:t>[]</w:t>
            </w:r>
            <w:r w:rsidRPr="003E7FFC">
              <w:rPr>
                <w:sz w:val="20"/>
              </w:rPr>
              <w:tab/>
              <w:t>Option A</w:t>
            </w:r>
            <w:r w:rsidRPr="003E7FFC">
              <w:rPr>
                <w:sz w:val="20"/>
              </w:rPr>
              <w:br/>
              <w:t>[]</w:t>
            </w:r>
            <w:r w:rsidRPr="003E7FFC">
              <w:rPr>
                <w:sz w:val="20"/>
              </w:rPr>
              <w:tab/>
              <w:t xml:space="preserve">Option B   Specify: </w:t>
            </w:r>
            <w:r w:rsidRPr="003E7FFC">
              <w:rPr>
                <w:sz w:val="20"/>
                <w:u w:val="single"/>
              </w:rPr>
              <w:tab/>
            </w:r>
            <w:r w:rsidRPr="003E7FFC">
              <w:rPr>
                <w:sz w:val="20"/>
              </w:rPr>
              <w:br/>
              <w:t>[</w:t>
            </w:r>
            <w:r w:rsidR="00F93E56">
              <w:rPr>
                <w:sz w:val="20"/>
              </w:rPr>
              <w:t>X</w:t>
            </w:r>
            <w:r w:rsidRPr="003E7FFC">
              <w:rPr>
                <w:sz w:val="20"/>
              </w:rPr>
              <w:t>]</w:t>
            </w:r>
            <w:r w:rsidRPr="003E7FFC">
              <w:rPr>
                <w:sz w:val="20"/>
              </w:rPr>
              <w:tab/>
              <w:t xml:space="preserve">Option C   Specify: </w:t>
            </w:r>
            <w:r w:rsidR="00672E4A" w:rsidRPr="00672E4A">
              <w:rPr>
                <w:sz w:val="20"/>
                <w:u w:val="single"/>
              </w:rPr>
              <w:t>N/A</w:t>
            </w:r>
            <w:r w:rsidRPr="003E7FFC">
              <w:rPr>
                <w:sz w:val="20"/>
                <w:u w:val="single"/>
              </w:rPr>
              <w:tab/>
            </w:r>
          </w:p>
        </w:tc>
      </w:tr>
      <w:permEnd w:id="435166400"/>
      <w:tr w:rsidR="007130CD" w:rsidRPr="003E7FFC" w:rsidTr="00630B2F">
        <w:trPr>
          <w:gridAfter w:val="1"/>
          <w:wAfter w:w="374" w:type="dxa"/>
        </w:trPr>
        <w:tc>
          <w:tcPr>
            <w:tcW w:w="2913" w:type="dxa"/>
          </w:tcPr>
          <w:p w:rsidR="007130CD" w:rsidRPr="003E7FFC" w:rsidRDefault="007130CD">
            <w:pPr>
              <w:spacing w:after="120"/>
              <w:rPr>
                <w:sz w:val="20"/>
                <w:u w:val="single"/>
              </w:rPr>
            </w:pPr>
          </w:p>
        </w:tc>
        <w:tc>
          <w:tcPr>
            <w:tcW w:w="6919" w:type="dxa"/>
            <w:gridSpan w:val="5"/>
          </w:tcPr>
          <w:p w:rsidR="007130CD" w:rsidRPr="003E7FFC" w:rsidRDefault="007130CD">
            <w:pPr>
              <w:spacing w:after="120"/>
              <w:ind w:left="720" w:hanging="360"/>
              <w:rPr>
                <w:sz w:val="20"/>
              </w:rPr>
            </w:pPr>
            <w:r w:rsidRPr="003E7FFC">
              <w:rPr>
                <w:rStyle w:val="ParaNum"/>
                <w:sz w:val="20"/>
              </w:rPr>
              <w:t>(b)</w:t>
            </w:r>
            <w:r w:rsidRPr="003E7FFC">
              <w:rPr>
                <w:sz w:val="20"/>
              </w:rPr>
              <w:t xml:space="preserve">  Credit Assurances:</w:t>
            </w:r>
          </w:p>
        </w:tc>
      </w:tr>
      <w:tr w:rsidR="007130CD" w:rsidRPr="003E7FFC" w:rsidTr="00A116EF">
        <w:trPr>
          <w:gridAfter w:val="1"/>
          <w:wAfter w:w="374" w:type="dxa"/>
          <w:trHeight w:val="850"/>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tabs>
                <w:tab w:val="left" w:pos="1332"/>
                <w:tab w:val="right" w:pos="4572"/>
              </w:tabs>
              <w:spacing w:after="200"/>
              <w:ind w:left="972"/>
              <w:rPr>
                <w:sz w:val="20"/>
              </w:rPr>
            </w:pPr>
            <w:r w:rsidRPr="003E7FFC">
              <w:rPr>
                <w:sz w:val="20"/>
              </w:rPr>
              <w:t>[X]</w:t>
            </w:r>
            <w:r w:rsidRPr="003E7FFC">
              <w:rPr>
                <w:sz w:val="20"/>
              </w:rPr>
              <w:tab/>
              <w:t>Not Applicable</w:t>
            </w:r>
            <w:r w:rsidRPr="003E7FFC">
              <w:rPr>
                <w:sz w:val="20"/>
              </w:rPr>
              <w:br/>
              <w:t>[]</w:t>
            </w:r>
            <w:r w:rsidRPr="003E7FFC">
              <w:rPr>
                <w:sz w:val="20"/>
              </w:rPr>
              <w:tab/>
              <w:t>Applicable</w:t>
            </w:r>
          </w:p>
        </w:tc>
      </w:tr>
      <w:tr w:rsidR="007130CD" w:rsidRPr="003E7FFC" w:rsidTr="00630B2F">
        <w:trPr>
          <w:gridAfter w:val="1"/>
          <w:wAfter w:w="374" w:type="dxa"/>
        </w:trPr>
        <w:tc>
          <w:tcPr>
            <w:tcW w:w="2913" w:type="dxa"/>
          </w:tcPr>
          <w:p w:rsidR="007130CD" w:rsidRPr="003E7FFC" w:rsidRDefault="007130CD" w:rsidP="000053FC">
            <w:pPr>
              <w:keepNext/>
              <w:spacing w:after="120"/>
              <w:rPr>
                <w:sz w:val="20"/>
                <w:u w:val="single"/>
              </w:rPr>
            </w:pPr>
            <w:r w:rsidRPr="003E7FFC">
              <w:lastRenderedPageBreak/>
              <w:br w:type="page"/>
            </w:r>
          </w:p>
        </w:tc>
        <w:tc>
          <w:tcPr>
            <w:tcW w:w="6919" w:type="dxa"/>
            <w:gridSpan w:val="5"/>
          </w:tcPr>
          <w:p w:rsidR="007130CD" w:rsidRPr="003E7FFC" w:rsidRDefault="007130CD" w:rsidP="000053FC">
            <w:pPr>
              <w:keepNext/>
              <w:spacing w:after="120"/>
              <w:ind w:left="720" w:hanging="360"/>
              <w:rPr>
                <w:sz w:val="20"/>
              </w:rPr>
            </w:pPr>
            <w:r w:rsidRPr="003E7FFC">
              <w:rPr>
                <w:rStyle w:val="ParaNum"/>
                <w:sz w:val="20"/>
              </w:rPr>
              <w:t>(c)</w:t>
            </w:r>
            <w:r w:rsidRPr="003E7FFC">
              <w:rPr>
                <w:sz w:val="20"/>
              </w:rPr>
              <w:t xml:space="preserve">  Collateral Threshold:</w:t>
            </w:r>
          </w:p>
        </w:tc>
      </w:tr>
      <w:tr w:rsidR="007130CD" w:rsidRPr="003E7FFC" w:rsidTr="00630B2F">
        <w:trPr>
          <w:gridAfter w:val="1"/>
          <w:wAfter w:w="374" w:type="dxa"/>
        </w:trPr>
        <w:tc>
          <w:tcPr>
            <w:tcW w:w="2913" w:type="dxa"/>
          </w:tcPr>
          <w:p w:rsidR="007130CD" w:rsidRPr="003E7FFC" w:rsidRDefault="007130CD" w:rsidP="000053FC">
            <w:pPr>
              <w:keepNext/>
              <w:spacing w:after="200"/>
              <w:rPr>
                <w:sz w:val="20"/>
                <w:u w:val="single"/>
              </w:rPr>
            </w:pPr>
          </w:p>
        </w:tc>
        <w:tc>
          <w:tcPr>
            <w:tcW w:w="6919" w:type="dxa"/>
            <w:gridSpan w:val="5"/>
          </w:tcPr>
          <w:p w:rsidR="007130CD" w:rsidRPr="003E7FFC" w:rsidRDefault="007130CD" w:rsidP="000053FC">
            <w:pPr>
              <w:keepNext/>
              <w:tabs>
                <w:tab w:val="left" w:pos="1332"/>
                <w:tab w:val="right" w:pos="4572"/>
              </w:tabs>
              <w:ind w:left="979"/>
              <w:rPr>
                <w:sz w:val="20"/>
                <w:u w:val="single"/>
              </w:rPr>
            </w:pPr>
            <w:r w:rsidRPr="003E7FFC">
              <w:rPr>
                <w:sz w:val="20"/>
              </w:rPr>
              <w:t>[X]</w:t>
            </w:r>
            <w:r w:rsidRPr="003E7FFC">
              <w:rPr>
                <w:sz w:val="20"/>
              </w:rPr>
              <w:tab/>
              <w:t>Not Applicable</w:t>
            </w:r>
            <w:r w:rsidRPr="003E7FFC">
              <w:rPr>
                <w:sz w:val="20"/>
              </w:rPr>
              <w:br/>
              <w:t>[]</w:t>
            </w:r>
            <w:r w:rsidRPr="003E7FFC">
              <w:rPr>
                <w:sz w:val="20"/>
              </w:rPr>
              <w:tab/>
              <w:t xml:space="preserve">Applicable: </w:t>
            </w:r>
          </w:p>
        </w:tc>
      </w:tr>
      <w:tr w:rsidR="007130CD" w:rsidRPr="003E7FFC" w:rsidTr="00A116EF">
        <w:trPr>
          <w:gridAfter w:val="1"/>
          <w:wAfter w:w="374" w:type="dxa"/>
          <w:trHeight w:val="136"/>
        </w:trPr>
        <w:tc>
          <w:tcPr>
            <w:tcW w:w="2913" w:type="dxa"/>
          </w:tcPr>
          <w:p w:rsidR="007130CD" w:rsidRPr="003E7FFC" w:rsidRDefault="007130CD">
            <w:pPr>
              <w:spacing w:after="200"/>
              <w:rPr>
                <w:sz w:val="2"/>
                <w:szCs w:val="2"/>
                <w:u w:val="single"/>
              </w:rPr>
            </w:pPr>
          </w:p>
        </w:tc>
        <w:tc>
          <w:tcPr>
            <w:tcW w:w="6919" w:type="dxa"/>
            <w:gridSpan w:val="5"/>
          </w:tcPr>
          <w:p w:rsidR="007130CD" w:rsidRPr="003E7FFC" w:rsidRDefault="007130CD">
            <w:pPr>
              <w:tabs>
                <w:tab w:val="right" w:pos="3852"/>
              </w:tabs>
              <w:spacing w:after="200"/>
              <w:rPr>
                <w:sz w:val="2"/>
                <w:szCs w:val="2"/>
              </w:rPr>
            </w:pP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0053FC" w:rsidRDefault="007130CD" w:rsidP="000053FC">
            <w:pPr>
              <w:spacing w:after="120"/>
              <w:ind w:left="720" w:hanging="360"/>
              <w:rPr>
                <w:rStyle w:val="ParaNum"/>
              </w:rPr>
            </w:pPr>
            <w:r w:rsidRPr="000053FC">
              <w:rPr>
                <w:rStyle w:val="ParaNum"/>
                <w:sz w:val="20"/>
              </w:rPr>
              <w:t>(d)</w:t>
            </w:r>
            <w:r w:rsidRPr="000053FC">
              <w:rPr>
                <w:rStyle w:val="ParaNum"/>
              </w:rPr>
              <w:t xml:space="preserve">  </w:t>
            </w:r>
            <w:r w:rsidRPr="00E629BB">
              <w:rPr>
                <w:rStyle w:val="ParaNum"/>
                <w:sz w:val="20"/>
              </w:rPr>
              <w:t>Downgrade Event:</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rsidP="000053FC">
            <w:pPr>
              <w:tabs>
                <w:tab w:val="left" w:pos="1332"/>
                <w:tab w:val="right" w:pos="4572"/>
              </w:tabs>
              <w:spacing w:after="200"/>
              <w:ind w:left="972"/>
              <w:rPr>
                <w:sz w:val="20"/>
              </w:rPr>
            </w:pPr>
            <w:r w:rsidRPr="003E7FFC">
              <w:rPr>
                <w:sz w:val="20"/>
              </w:rPr>
              <w:t>[X]</w:t>
            </w:r>
            <w:r w:rsidRPr="003E7FFC">
              <w:rPr>
                <w:sz w:val="20"/>
              </w:rPr>
              <w:tab/>
              <w:t>Not Applicable</w:t>
            </w:r>
            <w:r w:rsidRPr="003E7FFC">
              <w:rPr>
                <w:sz w:val="20"/>
              </w:rPr>
              <w:br/>
              <w:t>[]</w:t>
            </w:r>
            <w:r w:rsidRPr="003E7FFC">
              <w:rPr>
                <w:sz w:val="20"/>
              </w:rPr>
              <w:tab/>
              <w:t>Applicable</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spacing w:after="200"/>
              <w:rPr>
                <w:sz w:val="20"/>
              </w:rPr>
            </w:pPr>
            <w:r w:rsidRPr="003E7FFC">
              <w:rPr>
                <w:sz w:val="20"/>
              </w:rPr>
              <w:t>If applicable, complete the following:</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spacing w:after="200"/>
              <w:ind w:left="720" w:hanging="360"/>
              <w:rPr>
                <w:sz w:val="20"/>
              </w:rPr>
            </w:pPr>
            <w:r w:rsidRPr="003E7FFC">
              <w:rPr>
                <w:sz w:val="20"/>
              </w:rPr>
              <w:t>[]</w:t>
            </w:r>
            <w:r w:rsidRPr="003E7FFC">
              <w:rPr>
                <w:sz w:val="20"/>
              </w:rPr>
              <w:tab/>
              <w:t>It shall be a Downgrade Event for Party B if Party B</w:t>
            </w:r>
            <w:r w:rsidR="00A34C9E">
              <w:rPr>
                <w:sz w:val="20"/>
              </w:rPr>
              <w:t>’</w:t>
            </w:r>
            <w:r w:rsidRPr="003E7FFC">
              <w:rPr>
                <w:sz w:val="20"/>
              </w:rPr>
              <w:t>s Credit Rating falls below __________ from S&amp;P or  __________ from Moody</w:t>
            </w:r>
            <w:r w:rsidR="00A34C9E">
              <w:rPr>
                <w:sz w:val="20"/>
              </w:rPr>
              <w:t>’</w:t>
            </w:r>
            <w:r w:rsidRPr="003E7FFC">
              <w:rPr>
                <w:sz w:val="20"/>
              </w:rPr>
              <w:t>s or if  Party B is not rated by either S&amp;P or Moody</w:t>
            </w:r>
            <w:r w:rsidR="00A34C9E">
              <w:rPr>
                <w:sz w:val="20"/>
              </w:rPr>
              <w:t>’</w:t>
            </w:r>
            <w:r w:rsidRPr="003E7FFC">
              <w:rPr>
                <w:sz w:val="20"/>
              </w:rPr>
              <w:t xml:space="preserve">s </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tabs>
                <w:tab w:val="right" w:pos="6012"/>
              </w:tabs>
              <w:spacing w:after="200"/>
              <w:ind w:left="720" w:hanging="360"/>
              <w:rPr>
                <w:sz w:val="20"/>
              </w:rPr>
            </w:pPr>
            <w:r w:rsidRPr="003E7FFC">
              <w:rPr>
                <w:sz w:val="20"/>
              </w:rPr>
              <w:t>[]</w:t>
            </w:r>
            <w:r w:rsidRPr="003E7FFC">
              <w:rPr>
                <w:sz w:val="20"/>
              </w:rPr>
              <w:tab/>
              <w:t xml:space="preserve">Other: </w:t>
            </w:r>
            <w:r w:rsidRPr="003E7FFC">
              <w:rPr>
                <w:sz w:val="20"/>
              </w:rPr>
              <w:br/>
              <w:t>Specify:</w:t>
            </w:r>
            <w:r w:rsidRPr="003E7FFC">
              <w:rPr>
                <w:sz w:val="20"/>
                <w:u w:val="single"/>
              </w:rPr>
              <w:tab/>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E629BB" w:rsidRDefault="007130CD" w:rsidP="000053FC">
            <w:pPr>
              <w:spacing w:after="120"/>
              <w:ind w:left="720" w:hanging="360"/>
              <w:rPr>
                <w:rStyle w:val="ParaNum"/>
                <w:sz w:val="20"/>
              </w:rPr>
            </w:pPr>
            <w:r w:rsidRPr="00E629BB">
              <w:rPr>
                <w:rStyle w:val="ParaNum"/>
                <w:sz w:val="20"/>
              </w:rPr>
              <w:t>(e)  Guarantor for Party B:</w:t>
            </w:r>
            <w:r w:rsidRPr="00E629BB">
              <w:rPr>
                <w:rStyle w:val="ParaNum"/>
                <w:sz w:val="20"/>
              </w:rPr>
              <w:tab/>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tabs>
                <w:tab w:val="right" w:pos="6012"/>
              </w:tabs>
              <w:spacing w:after="200"/>
              <w:ind w:left="702"/>
              <w:rPr>
                <w:rStyle w:val="ParaNum"/>
                <w:sz w:val="20"/>
              </w:rPr>
            </w:pPr>
            <w:r w:rsidRPr="003E7FFC">
              <w:rPr>
                <w:sz w:val="20"/>
              </w:rPr>
              <w:t>Guarantee Amount:</w:t>
            </w:r>
            <w:r w:rsidRPr="003E7FFC">
              <w:rPr>
                <w:sz w:val="20"/>
                <w:u w:val="single"/>
              </w:rPr>
              <w:tab/>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spacing w:after="200"/>
              <w:rPr>
                <w:sz w:val="20"/>
              </w:rPr>
            </w:pPr>
            <w:proofErr w:type="gramStart"/>
            <w:r w:rsidRPr="003E7FFC">
              <w:rPr>
                <w:sz w:val="20"/>
              </w:rPr>
              <w:t xml:space="preserve">8.2  </w:t>
            </w:r>
            <w:r w:rsidRPr="003E7FFC">
              <w:rPr>
                <w:sz w:val="20"/>
                <w:u w:val="single"/>
              </w:rPr>
              <w:t>Party</w:t>
            </w:r>
            <w:proofErr w:type="gramEnd"/>
            <w:r w:rsidRPr="003E7FFC">
              <w:rPr>
                <w:sz w:val="20"/>
                <w:u w:val="single"/>
              </w:rPr>
              <w:t xml:space="preserve"> B Credit Protection</w:t>
            </w:r>
            <w:r w:rsidRPr="003E7FFC">
              <w:rPr>
                <w:sz w:val="20"/>
              </w:rPr>
              <w:t>: Collateral Annex and Paragraph 10, as revised herein and with the elections designated in the form attached hereto, shall apply.</w:t>
            </w:r>
          </w:p>
        </w:tc>
      </w:tr>
      <w:tr w:rsidR="007130CD" w:rsidRPr="003E7FFC" w:rsidTr="00630B2F">
        <w:trPr>
          <w:gridAfter w:val="1"/>
          <w:wAfter w:w="374" w:type="dxa"/>
        </w:trPr>
        <w:tc>
          <w:tcPr>
            <w:tcW w:w="2913" w:type="dxa"/>
          </w:tcPr>
          <w:p w:rsidR="007130CD" w:rsidRPr="003E7FFC" w:rsidRDefault="007130CD">
            <w:pPr>
              <w:spacing w:after="120"/>
              <w:rPr>
                <w:sz w:val="20"/>
                <w:u w:val="single"/>
              </w:rPr>
            </w:pPr>
          </w:p>
        </w:tc>
        <w:tc>
          <w:tcPr>
            <w:tcW w:w="6919" w:type="dxa"/>
            <w:gridSpan w:val="5"/>
          </w:tcPr>
          <w:p w:rsidR="007130CD" w:rsidRPr="003E7FFC" w:rsidRDefault="007130CD">
            <w:pPr>
              <w:spacing w:after="120"/>
              <w:ind w:left="720" w:hanging="360"/>
              <w:rPr>
                <w:sz w:val="20"/>
              </w:rPr>
            </w:pPr>
            <w:r w:rsidRPr="003E7FFC">
              <w:rPr>
                <w:rStyle w:val="ParaNum"/>
                <w:sz w:val="20"/>
              </w:rPr>
              <w:t>(a)</w:t>
            </w:r>
            <w:r w:rsidRPr="003E7FFC">
              <w:rPr>
                <w:sz w:val="20"/>
              </w:rPr>
              <w:t xml:space="preserve">  Financial Information (at Party A</w:t>
            </w:r>
            <w:r w:rsidR="00A34C9E">
              <w:rPr>
                <w:sz w:val="20"/>
              </w:rPr>
              <w:t>’</w:t>
            </w:r>
            <w:r w:rsidRPr="003E7FFC">
              <w:rPr>
                <w:sz w:val="20"/>
              </w:rPr>
              <w:t>s option):</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4779DA" w:rsidRPr="003E7FFC" w:rsidRDefault="004779DA" w:rsidP="004779DA">
            <w:pPr>
              <w:tabs>
                <w:tab w:val="left" w:pos="2307"/>
                <w:tab w:val="right" w:pos="4572"/>
              </w:tabs>
              <w:ind w:left="2307" w:hanging="1357"/>
              <w:rPr>
                <w:sz w:val="20"/>
              </w:rPr>
            </w:pPr>
            <w:permStart w:id="876165978" w:edGrp="everyone"/>
            <w:proofErr w:type="gramStart"/>
            <w:r w:rsidRPr="003E7FFC">
              <w:rPr>
                <w:sz w:val="20"/>
              </w:rPr>
              <w:t xml:space="preserve">[]   </w:t>
            </w:r>
            <w:proofErr w:type="gramEnd"/>
            <w:r w:rsidRPr="003E7FFC">
              <w:rPr>
                <w:sz w:val="20"/>
              </w:rPr>
              <w:t xml:space="preserve">  </w:t>
            </w:r>
            <w:r w:rsidR="007130CD" w:rsidRPr="003E7FFC">
              <w:rPr>
                <w:sz w:val="20"/>
              </w:rPr>
              <w:t>Option A</w:t>
            </w:r>
            <w:r w:rsidRPr="003E7FFC">
              <w:rPr>
                <w:sz w:val="20"/>
              </w:rPr>
              <w:t xml:space="preserve">  -</w:t>
            </w:r>
            <w:r w:rsidRPr="003E7FFC">
              <w:rPr>
                <w:sz w:val="20"/>
              </w:rPr>
              <w:tab/>
              <w:t>Not applicable if Party A is not granted an unsecured line of credit under the Agreement.</w:t>
            </w:r>
          </w:p>
          <w:p w:rsidR="007130CD" w:rsidRPr="003E7FFC" w:rsidRDefault="007130CD" w:rsidP="004779DA">
            <w:pPr>
              <w:tabs>
                <w:tab w:val="left" w:pos="1332"/>
                <w:tab w:val="right" w:pos="4572"/>
              </w:tabs>
              <w:spacing w:after="200"/>
              <w:ind w:left="957"/>
              <w:rPr>
                <w:sz w:val="20"/>
              </w:rPr>
            </w:pPr>
            <w:r w:rsidRPr="003E7FFC">
              <w:rPr>
                <w:sz w:val="20"/>
              </w:rPr>
              <w:t>[]</w:t>
            </w:r>
            <w:r w:rsidRPr="003E7FFC">
              <w:rPr>
                <w:sz w:val="20"/>
              </w:rPr>
              <w:tab/>
              <w:t>Option B   Specify: Party A</w:t>
            </w:r>
            <w:r w:rsidR="00A34C9E">
              <w:rPr>
                <w:sz w:val="20"/>
              </w:rPr>
              <w:t>’</w:t>
            </w:r>
            <w:r w:rsidRPr="003E7FFC">
              <w:rPr>
                <w:sz w:val="20"/>
              </w:rPr>
              <w:t>s credit support provider</w:t>
            </w:r>
            <w:r w:rsidRPr="003E7FFC">
              <w:rPr>
                <w:sz w:val="20"/>
              </w:rPr>
              <w:br/>
              <w:t>[</w:t>
            </w:r>
            <w:r w:rsidR="001C59F6">
              <w:rPr>
                <w:sz w:val="20"/>
              </w:rPr>
              <w:t>X</w:t>
            </w:r>
            <w:r w:rsidRPr="003E7FFC">
              <w:rPr>
                <w:sz w:val="20"/>
              </w:rPr>
              <w:t>]</w:t>
            </w:r>
            <w:r w:rsidRPr="003E7FFC">
              <w:rPr>
                <w:sz w:val="20"/>
              </w:rPr>
              <w:tab/>
              <w:t xml:space="preserve">Option C   Specify: </w:t>
            </w:r>
            <w:r w:rsidRPr="003E7FFC">
              <w:rPr>
                <w:sz w:val="20"/>
                <w:u w:val="single"/>
              </w:rPr>
              <w:t>N/A</w:t>
            </w:r>
            <w:r w:rsidRPr="003E7FFC">
              <w:rPr>
                <w:sz w:val="20"/>
                <w:u w:val="single"/>
              </w:rPr>
              <w:tab/>
            </w:r>
            <w:permEnd w:id="876165978"/>
          </w:p>
        </w:tc>
      </w:tr>
      <w:tr w:rsidR="007130CD" w:rsidRPr="003E7FFC" w:rsidTr="00630B2F">
        <w:trPr>
          <w:gridAfter w:val="1"/>
          <w:wAfter w:w="374" w:type="dxa"/>
        </w:trPr>
        <w:tc>
          <w:tcPr>
            <w:tcW w:w="2913" w:type="dxa"/>
          </w:tcPr>
          <w:p w:rsidR="007130CD" w:rsidRPr="003E7FFC" w:rsidRDefault="007130CD">
            <w:pPr>
              <w:spacing w:after="120"/>
              <w:rPr>
                <w:sz w:val="20"/>
                <w:u w:val="single"/>
              </w:rPr>
            </w:pPr>
          </w:p>
        </w:tc>
        <w:tc>
          <w:tcPr>
            <w:tcW w:w="6919" w:type="dxa"/>
            <w:gridSpan w:val="5"/>
          </w:tcPr>
          <w:p w:rsidR="007130CD" w:rsidRPr="003E7FFC" w:rsidRDefault="007130CD">
            <w:pPr>
              <w:spacing w:after="120"/>
              <w:ind w:left="720" w:hanging="360"/>
              <w:rPr>
                <w:sz w:val="20"/>
              </w:rPr>
            </w:pPr>
            <w:r w:rsidRPr="003E7FFC">
              <w:rPr>
                <w:rStyle w:val="ParaNum"/>
                <w:sz w:val="20"/>
              </w:rPr>
              <w:t>(b)</w:t>
            </w:r>
            <w:r w:rsidRPr="003E7FFC">
              <w:rPr>
                <w:sz w:val="20"/>
              </w:rPr>
              <w:t xml:space="preserve">  Credit Assurances:</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tabs>
                <w:tab w:val="left" w:pos="1332"/>
                <w:tab w:val="right" w:pos="4572"/>
              </w:tabs>
              <w:spacing w:after="200"/>
              <w:ind w:left="972"/>
              <w:rPr>
                <w:sz w:val="20"/>
              </w:rPr>
            </w:pPr>
            <w:r w:rsidRPr="003E7FFC">
              <w:rPr>
                <w:sz w:val="20"/>
              </w:rPr>
              <w:t>[X]</w:t>
            </w:r>
            <w:r w:rsidRPr="003E7FFC">
              <w:rPr>
                <w:sz w:val="20"/>
              </w:rPr>
              <w:tab/>
              <w:t>Not Applicable</w:t>
            </w:r>
            <w:r w:rsidRPr="003E7FFC">
              <w:rPr>
                <w:sz w:val="20"/>
              </w:rPr>
              <w:br/>
              <w:t>[]</w:t>
            </w:r>
            <w:r w:rsidRPr="003E7FFC">
              <w:rPr>
                <w:sz w:val="20"/>
              </w:rPr>
              <w:tab/>
              <w:t>Applicable</w:t>
            </w:r>
          </w:p>
        </w:tc>
      </w:tr>
      <w:tr w:rsidR="007130CD" w:rsidRPr="003E7FFC" w:rsidTr="00630B2F">
        <w:trPr>
          <w:gridAfter w:val="1"/>
          <w:wAfter w:w="374" w:type="dxa"/>
        </w:trPr>
        <w:tc>
          <w:tcPr>
            <w:tcW w:w="2913" w:type="dxa"/>
          </w:tcPr>
          <w:p w:rsidR="007130CD" w:rsidRPr="003E7FFC" w:rsidRDefault="007130CD">
            <w:pPr>
              <w:spacing w:after="120"/>
              <w:rPr>
                <w:sz w:val="20"/>
                <w:u w:val="single"/>
              </w:rPr>
            </w:pPr>
          </w:p>
        </w:tc>
        <w:tc>
          <w:tcPr>
            <w:tcW w:w="6919" w:type="dxa"/>
            <w:gridSpan w:val="5"/>
          </w:tcPr>
          <w:p w:rsidR="007130CD" w:rsidRPr="003E7FFC" w:rsidRDefault="007130CD">
            <w:pPr>
              <w:spacing w:after="120"/>
              <w:ind w:left="720" w:hanging="360"/>
              <w:rPr>
                <w:sz w:val="20"/>
              </w:rPr>
            </w:pPr>
            <w:r w:rsidRPr="003E7FFC">
              <w:rPr>
                <w:rStyle w:val="ParaNum"/>
                <w:sz w:val="20"/>
              </w:rPr>
              <w:t>(c)</w:t>
            </w:r>
            <w:r w:rsidRPr="003E7FFC">
              <w:rPr>
                <w:sz w:val="20"/>
              </w:rPr>
              <w:t xml:space="preserve">  Collateral Threshold:</w:t>
            </w:r>
          </w:p>
        </w:tc>
      </w:tr>
      <w:tr w:rsidR="007130CD" w:rsidRPr="003E7FFC" w:rsidTr="00630B2F">
        <w:trPr>
          <w:gridAfter w:val="1"/>
          <w:wAfter w:w="374" w:type="dxa"/>
          <w:trHeight w:val="545"/>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rsidP="00A116EF">
            <w:pPr>
              <w:tabs>
                <w:tab w:val="left" w:pos="1332"/>
                <w:tab w:val="right" w:pos="4572"/>
              </w:tabs>
              <w:ind w:left="979"/>
              <w:rPr>
                <w:sz w:val="20"/>
              </w:rPr>
            </w:pPr>
            <w:r w:rsidRPr="003E7FFC">
              <w:rPr>
                <w:sz w:val="20"/>
              </w:rPr>
              <w:t>[]</w:t>
            </w:r>
            <w:r w:rsidRPr="003E7FFC">
              <w:rPr>
                <w:sz w:val="20"/>
              </w:rPr>
              <w:tab/>
              <w:t>Not Applicable</w:t>
            </w:r>
            <w:r w:rsidRPr="003E7FFC">
              <w:rPr>
                <w:sz w:val="20"/>
              </w:rPr>
              <w:br/>
              <w:t>[X]</w:t>
            </w:r>
            <w:r w:rsidRPr="003E7FFC">
              <w:rPr>
                <w:sz w:val="20"/>
              </w:rPr>
              <w:tab/>
              <w:t xml:space="preserve">Applicable: </w:t>
            </w:r>
            <w:r w:rsidRPr="003E7FFC">
              <w:rPr>
                <w:b/>
                <w:sz w:val="20"/>
                <w:u w:val="single"/>
              </w:rPr>
              <w:t>See attached Paragraph 10 to the Collateral Annex</w:t>
            </w:r>
            <w:r w:rsidR="00692EFB" w:rsidRPr="003E7FFC">
              <w:rPr>
                <w:b/>
                <w:sz w:val="20"/>
                <w:u w:val="single"/>
              </w:rPr>
              <w:t xml:space="preserve"> and the amendments to the Collateral Annex included in this Cover Sheet below</w:t>
            </w:r>
            <w:r w:rsidRPr="003E7FFC">
              <w:rPr>
                <w:b/>
                <w:sz w:val="20"/>
                <w:u w:val="single"/>
              </w:rPr>
              <w:t>.</w:t>
            </w:r>
          </w:p>
        </w:tc>
      </w:tr>
      <w:tr w:rsidR="007130CD" w:rsidRPr="003E7FFC" w:rsidTr="00630B2F">
        <w:trPr>
          <w:gridAfter w:val="1"/>
          <w:wAfter w:w="374" w:type="dxa"/>
        </w:trPr>
        <w:tc>
          <w:tcPr>
            <w:tcW w:w="2913" w:type="dxa"/>
          </w:tcPr>
          <w:p w:rsidR="007130CD" w:rsidRPr="003E7FFC" w:rsidRDefault="007130CD">
            <w:pPr>
              <w:spacing w:after="200"/>
              <w:rPr>
                <w:sz w:val="2"/>
                <w:szCs w:val="2"/>
                <w:u w:val="single"/>
              </w:rPr>
            </w:pPr>
          </w:p>
        </w:tc>
        <w:tc>
          <w:tcPr>
            <w:tcW w:w="6919" w:type="dxa"/>
            <w:gridSpan w:val="5"/>
          </w:tcPr>
          <w:p w:rsidR="007130CD" w:rsidRPr="003E7FFC" w:rsidRDefault="007130CD">
            <w:pPr>
              <w:tabs>
                <w:tab w:val="right" w:pos="3852"/>
              </w:tabs>
              <w:spacing w:after="200"/>
              <w:rPr>
                <w:sz w:val="2"/>
                <w:szCs w:val="2"/>
              </w:rPr>
            </w:pP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0053FC" w:rsidRDefault="007130CD" w:rsidP="000053FC">
            <w:pPr>
              <w:spacing w:after="120"/>
              <w:ind w:left="720" w:hanging="360"/>
              <w:rPr>
                <w:rStyle w:val="ParaNum"/>
              </w:rPr>
            </w:pPr>
            <w:r w:rsidRPr="003E7FFC">
              <w:rPr>
                <w:rStyle w:val="ParaNum"/>
                <w:sz w:val="20"/>
              </w:rPr>
              <w:t>(d)</w:t>
            </w:r>
            <w:r w:rsidRPr="000053FC">
              <w:rPr>
                <w:rStyle w:val="ParaNum"/>
              </w:rPr>
              <w:t xml:space="preserve">  </w:t>
            </w:r>
            <w:r w:rsidRPr="00E629BB">
              <w:rPr>
                <w:rStyle w:val="ParaNum"/>
                <w:sz w:val="20"/>
              </w:rPr>
              <w:t>Downgrade Event:</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rsidP="000053FC">
            <w:pPr>
              <w:tabs>
                <w:tab w:val="left" w:pos="1332"/>
                <w:tab w:val="right" w:pos="4572"/>
              </w:tabs>
              <w:spacing w:after="200"/>
              <w:ind w:left="972"/>
              <w:rPr>
                <w:sz w:val="20"/>
              </w:rPr>
            </w:pPr>
            <w:r w:rsidRPr="003E7FFC">
              <w:rPr>
                <w:sz w:val="20"/>
              </w:rPr>
              <w:t>[X]</w:t>
            </w:r>
            <w:r w:rsidRPr="003E7FFC">
              <w:rPr>
                <w:sz w:val="20"/>
              </w:rPr>
              <w:tab/>
              <w:t>Not Applicable</w:t>
            </w:r>
            <w:r w:rsidRPr="003E7FFC">
              <w:rPr>
                <w:sz w:val="20"/>
              </w:rPr>
              <w:br/>
              <w:t>[]</w:t>
            </w:r>
            <w:r w:rsidRPr="003E7FFC">
              <w:rPr>
                <w:sz w:val="20"/>
              </w:rPr>
              <w:tab/>
              <w:t>Applicable</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spacing w:after="200"/>
              <w:rPr>
                <w:sz w:val="20"/>
              </w:rPr>
            </w:pPr>
            <w:r w:rsidRPr="003E7FFC">
              <w:rPr>
                <w:sz w:val="20"/>
              </w:rPr>
              <w:t>If applicable, complete the following:</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spacing w:after="200"/>
              <w:ind w:left="720" w:hanging="360"/>
              <w:rPr>
                <w:sz w:val="20"/>
              </w:rPr>
            </w:pPr>
            <w:r w:rsidRPr="003E7FFC">
              <w:rPr>
                <w:sz w:val="20"/>
              </w:rPr>
              <w:t>[]</w:t>
            </w:r>
            <w:r w:rsidRPr="003E7FFC">
              <w:rPr>
                <w:sz w:val="20"/>
              </w:rPr>
              <w:tab/>
              <w:t>It shall be a Downgrade Event for Party A if Party A</w:t>
            </w:r>
            <w:r w:rsidR="00A34C9E">
              <w:rPr>
                <w:sz w:val="20"/>
              </w:rPr>
              <w:t>’</w:t>
            </w:r>
            <w:r w:rsidRPr="003E7FFC">
              <w:rPr>
                <w:sz w:val="20"/>
              </w:rPr>
              <w:t>s Credit Rating falls below __________ from S&amp;P or  __________ from Moody</w:t>
            </w:r>
            <w:r w:rsidR="00A34C9E">
              <w:rPr>
                <w:sz w:val="20"/>
              </w:rPr>
              <w:t>’</w:t>
            </w:r>
            <w:r w:rsidRPr="003E7FFC">
              <w:rPr>
                <w:sz w:val="20"/>
              </w:rPr>
              <w:t>s or if  Party A is not rated by either S&amp;P or Moody</w:t>
            </w:r>
            <w:r w:rsidR="00A34C9E">
              <w:rPr>
                <w:sz w:val="20"/>
              </w:rPr>
              <w:t>’</w:t>
            </w:r>
            <w:r w:rsidRPr="003E7FFC">
              <w:rPr>
                <w:sz w:val="20"/>
              </w:rPr>
              <w:t xml:space="preserve">s </w:t>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3E7FFC" w:rsidRDefault="007130CD">
            <w:pPr>
              <w:tabs>
                <w:tab w:val="right" w:pos="6012"/>
              </w:tabs>
              <w:spacing w:after="200"/>
              <w:ind w:left="720" w:hanging="360"/>
              <w:rPr>
                <w:sz w:val="20"/>
              </w:rPr>
            </w:pPr>
            <w:r w:rsidRPr="003E7FFC">
              <w:rPr>
                <w:sz w:val="20"/>
              </w:rPr>
              <w:t>[]</w:t>
            </w:r>
            <w:r w:rsidRPr="003E7FFC">
              <w:rPr>
                <w:sz w:val="20"/>
              </w:rPr>
              <w:tab/>
              <w:t xml:space="preserve">Other: </w:t>
            </w:r>
            <w:r w:rsidRPr="003E7FFC">
              <w:rPr>
                <w:sz w:val="20"/>
              </w:rPr>
              <w:br/>
              <w:t>Specify:</w:t>
            </w:r>
            <w:r w:rsidRPr="003E7FFC">
              <w:rPr>
                <w:sz w:val="20"/>
                <w:u w:val="single"/>
              </w:rPr>
              <w:tab/>
            </w:r>
          </w:p>
        </w:tc>
      </w:tr>
      <w:tr w:rsidR="007130CD" w:rsidRPr="003E7FFC" w:rsidTr="00630B2F">
        <w:trPr>
          <w:gridAfter w:val="1"/>
          <w:wAfter w:w="374" w:type="dxa"/>
        </w:trPr>
        <w:tc>
          <w:tcPr>
            <w:tcW w:w="2913" w:type="dxa"/>
          </w:tcPr>
          <w:p w:rsidR="007130CD" w:rsidRPr="003E7FFC" w:rsidRDefault="007130CD">
            <w:pPr>
              <w:spacing w:after="200"/>
              <w:rPr>
                <w:sz w:val="20"/>
                <w:u w:val="single"/>
              </w:rPr>
            </w:pPr>
          </w:p>
        </w:tc>
        <w:tc>
          <w:tcPr>
            <w:tcW w:w="6919" w:type="dxa"/>
            <w:gridSpan w:val="5"/>
          </w:tcPr>
          <w:p w:rsidR="007130CD" w:rsidRPr="000053FC" w:rsidRDefault="007130CD" w:rsidP="000053FC">
            <w:pPr>
              <w:spacing w:after="120"/>
              <w:ind w:left="720" w:hanging="360"/>
              <w:rPr>
                <w:rStyle w:val="ParaNum"/>
              </w:rPr>
            </w:pPr>
            <w:r w:rsidRPr="003E7FFC">
              <w:rPr>
                <w:rStyle w:val="ParaNum"/>
                <w:sz w:val="20"/>
              </w:rPr>
              <w:t>(e)</w:t>
            </w:r>
            <w:r w:rsidRPr="000053FC">
              <w:rPr>
                <w:rStyle w:val="ParaNum"/>
              </w:rPr>
              <w:t xml:space="preserve">  </w:t>
            </w:r>
            <w:r w:rsidRPr="00E629BB">
              <w:rPr>
                <w:rStyle w:val="ParaNum"/>
                <w:sz w:val="20"/>
              </w:rPr>
              <w:t>If Party A is relying on a Guarantor please specify that name</w:t>
            </w:r>
            <w:r w:rsidRPr="00E629BB">
              <w:rPr>
                <w:rStyle w:val="ParaNum"/>
              </w:rPr>
              <w:t xml:space="preserve"> </w:t>
            </w:r>
            <w:r w:rsidRPr="00E629BB">
              <w:rPr>
                <w:rStyle w:val="ParaNum"/>
                <w:sz w:val="20"/>
              </w:rPr>
              <w:t>here:</w:t>
            </w:r>
            <w:r w:rsidR="000053FC" w:rsidRPr="003E7FFC">
              <w:rPr>
                <w:sz w:val="20"/>
                <w:u w:val="single"/>
              </w:rPr>
              <w:t xml:space="preserve"> </w:t>
            </w:r>
            <w:r w:rsidR="000053FC" w:rsidRPr="003E7FFC">
              <w:rPr>
                <w:sz w:val="20"/>
                <w:u w:val="single"/>
              </w:rPr>
              <w:tab/>
            </w:r>
          </w:p>
        </w:tc>
      </w:tr>
      <w:tr w:rsidR="007130CD" w:rsidRPr="003E7FFC" w:rsidTr="00630B2F">
        <w:trPr>
          <w:gridAfter w:val="1"/>
          <w:wAfter w:w="374" w:type="dxa"/>
        </w:trPr>
        <w:tc>
          <w:tcPr>
            <w:tcW w:w="2913" w:type="dxa"/>
            <w:tcBorders>
              <w:top w:val="single" w:sz="6" w:space="0" w:color="auto"/>
            </w:tcBorders>
          </w:tcPr>
          <w:p w:rsidR="007130CD" w:rsidRPr="003E7FFC" w:rsidRDefault="007130CD" w:rsidP="004E0826">
            <w:pPr>
              <w:spacing w:before="120" w:after="120"/>
              <w:rPr>
                <w:b/>
                <w:sz w:val="20"/>
                <w:u w:val="single"/>
              </w:rPr>
            </w:pPr>
            <w:r w:rsidRPr="003E7FFC">
              <w:rPr>
                <w:b/>
                <w:sz w:val="20"/>
                <w:u w:val="single"/>
              </w:rPr>
              <w:lastRenderedPageBreak/>
              <w:t xml:space="preserve">Article </w:t>
            </w:r>
            <w:r w:rsidRPr="003E7FFC">
              <w:rPr>
                <w:rStyle w:val="ParaNum"/>
                <w:b/>
                <w:sz w:val="20"/>
                <w:u w:val="single"/>
              </w:rPr>
              <w:t>10</w:t>
            </w:r>
          </w:p>
        </w:tc>
        <w:tc>
          <w:tcPr>
            <w:tcW w:w="6919" w:type="dxa"/>
            <w:gridSpan w:val="5"/>
            <w:tcBorders>
              <w:top w:val="single" w:sz="6" w:space="0" w:color="auto"/>
            </w:tcBorders>
          </w:tcPr>
          <w:p w:rsidR="007130CD" w:rsidRPr="003E7FFC" w:rsidRDefault="007130CD">
            <w:pPr>
              <w:spacing w:before="120" w:after="120"/>
              <w:rPr>
                <w:sz w:val="20"/>
              </w:rPr>
            </w:pPr>
          </w:p>
        </w:tc>
      </w:tr>
      <w:tr w:rsidR="007130CD" w:rsidRPr="003E7FFC" w:rsidTr="00630B2F">
        <w:trPr>
          <w:gridAfter w:val="2"/>
          <w:wAfter w:w="394" w:type="dxa"/>
          <w:cantSplit/>
        </w:trPr>
        <w:tc>
          <w:tcPr>
            <w:tcW w:w="2913" w:type="dxa"/>
          </w:tcPr>
          <w:p w:rsidR="007130CD" w:rsidRPr="003E7FFC" w:rsidRDefault="007130CD">
            <w:pPr>
              <w:spacing w:after="200"/>
              <w:rPr>
                <w:sz w:val="20"/>
              </w:rPr>
            </w:pPr>
            <w:r w:rsidRPr="003E7FFC">
              <w:rPr>
                <w:sz w:val="20"/>
              </w:rPr>
              <w:t>Confidentiality</w:t>
            </w:r>
          </w:p>
        </w:tc>
        <w:tc>
          <w:tcPr>
            <w:tcW w:w="2992" w:type="dxa"/>
            <w:gridSpan w:val="2"/>
          </w:tcPr>
          <w:p w:rsidR="007130CD" w:rsidRPr="003E7FFC" w:rsidRDefault="007130CD">
            <w:pPr>
              <w:pStyle w:val="MacroText"/>
              <w:tabs>
                <w:tab w:val="clear" w:pos="480"/>
                <w:tab w:val="clear" w:pos="960"/>
                <w:tab w:val="clear" w:pos="1440"/>
                <w:tab w:val="clear" w:pos="1920"/>
                <w:tab w:val="clear" w:pos="2400"/>
                <w:tab w:val="clear" w:pos="2880"/>
                <w:tab w:val="clear" w:pos="3360"/>
                <w:tab w:val="clear" w:pos="3840"/>
                <w:tab w:val="clear" w:pos="4320"/>
                <w:tab w:val="left" w:pos="252"/>
              </w:tabs>
              <w:spacing w:after="200"/>
              <w:rPr>
                <w:rFonts w:ascii="Times New Roman" w:hAnsi="Times New Roman"/>
              </w:rPr>
            </w:pPr>
            <w:r w:rsidRPr="003E7FFC">
              <w:rPr>
                <w:rFonts w:ascii="Times New Roman" w:hAnsi="Times New Roman"/>
              </w:rPr>
              <w:t>[X</w:t>
            </w:r>
            <w:proofErr w:type="gramStart"/>
            <w:r w:rsidRPr="003E7FFC">
              <w:rPr>
                <w:rFonts w:ascii="Times New Roman" w:hAnsi="Times New Roman"/>
              </w:rPr>
              <w:t>]  Confidentiality</w:t>
            </w:r>
            <w:proofErr w:type="gramEnd"/>
            <w:r w:rsidRPr="003E7FFC">
              <w:rPr>
                <w:rFonts w:ascii="Times New Roman" w:hAnsi="Times New Roman"/>
              </w:rPr>
              <w:t xml:space="preserve"> Applicable</w:t>
            </w:r>
          </w:p>
        </w:tc>
        <w:tc>
          <w:tcPr>
            <w:tcW w:w="3907" w:type="dxa"/>
            <w:gridSpan w:val="2"/>
          </w:tcPr>
          <w:p w:rsidR="007130CD" w:rsidRPr="003E7FFC" w:rsidRDefault="007130CD">
            <w:pPr>
              <w:spacing w:after="200"/>
              <w:rPr>
                <w:sz w:val="20"/>
              </w:rPr>
            </w:pPr>
            <w:r w:rsidRPr="003E7FFC">
              <w:rPr>
                <w:sz w:val="20"/>
              </w:rPr>
              <w:t>If not checked, inapplicable.</w:t>
            </w:r>
          </w:p>
        </w:tc>
      </w:tr>
      <w:tr w:rsidR="007130CD" w:rsidRPr="003E7FFC" w:rsidTr="00630B2F">
        <w:tc>
          <w:tcPr>
            <w:tcW w:w="2913" w:type="dxa"/>
            <w:tcBorders>
              <w:top w:val="single" w:sz="4" w:space="0" w:color="auto"/>
            </w:tcBorders>
          </w:tcPr>
          <w:p w:rsidR="007130CD" w:rsidRPr="003E7FFC" w:rsidRDefault="007130CD">
            <w:pPr>
              <w:rPr>
                <w:b/>
                <w:sz w:val="20"/>
                <w:u w:val="single"/>
              </w:rPr>
            </w:pPr>
            <w:r w:rsidRPr="003E7FFC">
              <w:rPr>
                <w:b/>
                <w:sz w:val="20"/>
                <w:u w:val="single"/>
              </w:rPr>
              <w:t>Schedule M</w:t>
            </w:r>
          </w:p>
        </w:tc>
        <w:tc>
          <w:tcPr>
            <w:tcW w:w="7293" w:type="dxa"/>
            <w:gridSpan w:val="6"/>
            <w:tcBorders>
              <w:top w:val="single" w:sz="4" w:space="0" w:color="auto"/>
            </w:tcBorders>
          </w:tcPr>
          <w:p w:rsidR="007130CD" w:rsidRPr="003E7FFC" w:rsidRDefault="007130CD">
            <w:pPr>
              <w:rPr>
                <w:sz w:val="20"/>
              </w:rPr>
            </w:pPr>
          </w:p>
        </w:tc>
      </w:tr>
      <w:tr w:rsidR="007130CD" w:rsidRPr="003E7FFC" w:rsidTr="00630B2F">
        <w:tc>
          <w:tcPr>
            <w:tcW w:w="2913" w:type="dxa"/>
          </w:tcPr>
          <w:p w:rsidR="007130CD" w:rsidRPr="003E7FFC" w:rsidRDefault="007130CD">
            <w:pPr>
              <w:rPr>
                <w:sz w:val="20"/>
              </w:rPr>
            </w:pPr>
          </w:p>
        </w:tc>
        <w:tc>
          <w:tcPr>
            <w:tcW w:w="7293" w:type="dxa"/>
            <w:gridSpan w:val="6"/>
          </w:tcPr>
          <w:p w:rsidR="007130CD" w:rsidRPr="003E7FFC" w:rsidRDefault="007130CD">
            <w:pPr>
              <w:rPr>
                <w:sz w:val="20"/>
              </w:rPr>
            </w:pPr>
            <w:proofErr w:type="gramStart"/>
            <w:r w:rsidRPr="003E7FFC">
              <w:rPr>
                <w:sz w:val="20"/>
              </w:rPr>
              <w:t>[]  Party</w:t>
            </w:r>
            <w:proofErr w:type="gramEnd"/>
            <w:r w:rsidRPr="003E7FFC">
              <w:rPr>
                <w:sz w:val="20"/>
              </w:rPr>
              <w:t xml:space="preserve"> A is a Governmental Entity or Public Power System</w:t>
            </w:r>
          </w:p>
        </w:tc>
      </w:tr>
      <w:tr w:rsidR="007130CD" w:rsidRPr="003E7FFC" w:rsidTr="00630B2F">
        <w:tc>
          <w:tcPr>
            <w:tcW w:w="2913" w:type="dxa"/>
          </w:tcPr>
          <w:p w:rsidR="007130CD" w:rsidRPr="003E7FFC" w:rsidRDefault="007130CD">
            <w:pPr>
              <w:rPr>
                <w:sz w:val="20"/>
              </w:rPr>
            </w:pPr>
          </w:p>
        </w:tc>
        <w:tc>
          <w:tcPr>
            <w:tcW w:w="7293" w:type="dxa"/>
            <w:gridSpan w:val="6"/>
          </w:tcPr>
          <w:p w:rsidR="007130CD" w:rsidRPr="003E7FFC" w:rsidRDefault="007130CD">
            <w:pPr>
              <w:rPr>
                <w:sz w:val="20"/>
              </w:rPr>
            </w:pPr>
            <w:proofErr w:type="gramStart"/>
            <w:r w:rsidRPr="003E7FFC">
              <w:rPr>
                <w:sz w:val="20"/>
              </w:rPr>
              <w:t>[]  Party</w:t>
            </w:r>
            <w:proofErr w:type="gramEnd"/>
            <w:r w:rsidRPr="003E7FFC">
              <w:rPr>
                <w:sz w:val="20"/>
              </w:rPr>
              <w:t xml:space="preserve"> B is a Governmental Entity or Public Power System</w:t>
            </w:r>
          </w:p>
        </w:tc>
      </w:tr>
      <w:tr w:rsidR="007130CD" w:rsidRPr="003E7FFC" w:rsidTr="00630B2F">
        <w:tc>
          <w:tcPr>
            <w:tcW w:w="2913" w:type="dxa"/>
          </w:tcPr>
          <w:p w:rsidR="007130CD" w:rsidRPr="003E7FFC" w:rsidRDefault="007130CD">
            <w:pPr>
              <w:rPr>
                <w:sz w:val="20"/>
              </w:rPr>
            </w:pPr>
          </w:p>
        </w:tc>
        <w:tc>
          <w:tcPr>
            <w:tcW w:w="7293" w:type="dxa"/>
            <w:gridSpan w:val="6"/>
          </w:tcPr>
          <w:p w:rsidR="007130CD" w:rsidRPr="003E7FFC" w:rsidRDefault="007130CD">
            <w:pPr>
              <w:rPr>
                <w:sz w:val="20"/>
              </w:rPr>
            </w:pPr>
            <w:proofErr w:type="gramStart"/>
            <w:r w:rsidRPr="003E7FFC">
              <w:rPr>
                <w:sz w:val="20"/>
              </w:rPr>
              <w:t>[]  Add</w:t>
            </w:r>
            <w:proofErr w:type="gramEnd"/>
            <w:r w:rsidRPr="003E7FFC">
              <w:rPr>
                <w:sz w:val="20"/>
              </w:rPr>
              <w:t xml:space="preserve"> Section 3.6</w:t>
            </w:r>
            <w:r w:rsidR="002B35C9">
              <w:rPr>
                <w:sz w:val="20"/>
              </w:rPr>
              <w:t xml:space="preserve">.  </w:t>
            </w:r>
            <w:r w:rsidRPr="003E7FFC">
              <w:rPr>
                <w:sz w:val="20"/>
              </w:rPr>
              <w:t>If not checked, inapplicable</w:t>
            </w:r>
          </w:p>
        </w:tc>
      </w:tr>
      <w:tr w:rsidR="007130CD" w:rsidRPr="003E7FFC" w:rsidTr="00630B2F">
        <w:tc>
          <w:tcPr>
            <w:tcW w:w="2913" w:type="dxa"/>
          </w:tcPr>
          <w:p w:rsidR="007130CD" w:rsidRPr="003E7FFC" w:rsidRDefault="007130CD">
            <w:pPr>
              <w:spacing w:after="200"/>
              <w:rPr>
                <w:sz w:val="20"/>
              </w:rPr>
            </w:pPr>
          </w:p>
        </w:tc>
        <w:tc>
          <w:tcPr>
            <w:tcW w:w="7293" w:type="dxa"/>
            <w:gridSpan w:val="6"/>
          </w:tcPr>
          <w:p w:rsidR="007130CD" w:rsidRPr="003E7FFC" w:rsidRDefault="007130CD">
            <w:pPr>
              <w:rPr>
                <w:sz w:val="20"/>
              </w:rPr>
            </w:pPr>
            <w:proofErr w:type="gramStart"/>
            <w:r w:rsidRPr="003E7FFC">
              <w:rPr>
                <w:sz w:val="20"/>
              </w:rPr>
              <w:t>[]  Add</w:t>
            </w:r>
            <w:proofErr w:type="gramEnd"/>
            <w:r w:rsidRPr="003E7FFC">
              <w:rPr>
                <w:sz w:val="20"/>
              </w:rPr>
              <w:t xml:space="preserve"> Section 8.4</w:t>
            </w:r>
            <w:r w:rsidR="002B35C9">
              <w:rPr>
                <w:sz w:val="20"/>
              </w:rPr>
              <w:t xml:space="preserve">.  </w:t>
            </w:r>
            <w:r w:rsidRPr="003E7FFC">
              <w:rPr>
                <w:sz w:val="20"/>
              </w:rPr>
              <w:t>If not checked, inapplicable</w:t>
            </w:r>
          </w:p>
        </w:tc>
      </w:tr>
      <w:tr w:rsidR="007130CD" w:rsidRPr="003E7FFC" w:rsidTr="00630B2F">
        <w:tc>
          <w:tcPr>
            <w:tcW w:w="3348" w:type="dxa"/>
            <w:gridSpan w:val="2"/>
          </w:tcPr>
          <w:p w:rsidR="007130CD" w:rsidRPr="003E7FFC" w:rsidRDefault="007130CD">
            <w:pPr>
              <w:tabs>
                <w:tab w:val="right" w:pos="3060"/>
              </w:tabs>
              <w:spacing w:after="200"/>
              <w:rPr>
                <w:sz w:val="20"/>
              </w:rPr>
            </w:pPr>
            <w:r w:rsidRPr="003E7FFC">
              <w:rPr>
                <w:b/>
                <w:sz w:val="20"/>
                <w:u w:val="single"/>
              </w:rPr>
              <w:t>Other Changes</w:t>
            </w:r>
          </w:p>
        </w:tc>
        <w:tc>
          <w:tcPr>
            <w:tcW w:w="6858" w:type="dxa"/>
            <w:gridSpan w:val="5"/>
          </w:tcPr>
          <w:p w:rsidR="007130CD" w:rsidRPr="003E7FFC" w:rsidRDefault="007130CD" w:rsidP="00DC6A71">
            <w:pPr>
              <w:pStyle w:val="BlockText"/>
            </w:pPr>
            <w:r w:rsidRPr="003E7FFC">
              <w:t xml:space="preserve">Specify, if any:  </w:t>
            </w:r>
          </w:p>
          <w:p w:rsidR="007130CD" w:rsidRPr="00666404" w:rsidRDefault="007130CD" w:rsidP="00DC6A71">
            <w:pPr>
              <w:pStyle w:val="BlockText"/>
              <w:rPr>
                <w:b/>
                <w:szCs w:val="24"/>
              </w:rPr>
            </w:pPr>
            <w:r w:rsidRPr="00666404">
              <w:rPr>
                <w:b/>
                <w:szCs w:val="24"/>
              </w:rPr>
              <w:t>A</w:t>
            </w:r>
            <w:r w:rsidR="002B35C9" w:rsidRPr="00666404">
              <w:rPr>
                <w:b/>
                <w:szCs w:val="24"/>
              </w:rPr>
              <w:t xml:space="preserve">.  </w:t>
            </w:r>
            <w:r w:rsidRPr="00666404">
              <w:rPr>
                <w:b/>
                <w:szCs w:val="24"/>
              </w:rPr>
              <w:t>The Master Agreement is hereby amended as follows:</w:t>
            </w:r>
          </w:p>
          <w:p w:rsidR="007130CD" w:rsidRPr="003E7FFC" w:rsidRDefault="007130CD" w:rsidP="00DC6A71">
            <w:pPr>
              <w:pStyle w:val="BlockText"/>
              <w:rPr>
                <w:b/>
              </w:rPr>
            </w:pPr>
            <w:r w:rsidRPr="003E7FFC">
              <w:rPr>
                <w:b/>
              </w:rPr>
              <w:t>1</w:t>
            </w:r>
            <w:r w:rsidR="002B35C9">
              <w:rPr>
                <w:b/>
              </w:rPr>
              <w:t xml:space="preserve">.  </w:t>
            </w:r>
            <w:r w:rsidRPr="003E7FFC">
              <w:rPr>
                <w:b/>
              </w:rPr>
              <w:t>Article One:  General Definitions</w:t>
            </w:r>
          </w:p>
          <w:p w:rsidR="007130CD" w:rsidRPr="003E7FFC" w:rsidRDefault="007130CD" w:rsidP="00DC6A71">
            <w:pPr>
              <w:pStyle w:val="BlockText"/>
            </w:pPr>
            <w:r w:rsidRPr="003E7FFC">
              <w:t>The following is added to the Agreement:</w:t>
            </w:r>
          </w:p>
          <w:p w:rsidR="007130CD" w:rsidRPr="003E7FFC" w:rsidRDefault="007130CD" w:rsidP="008F7AFE">
            <w:pPr>
              <w:pStyle w:val="BlockText"/>
              <w:spacing w:after="200"/>
              <w:ind w:left="720"/>
            </w:pPr>
            <w:r w:rsidRPr="003E7FFC">
              <w:t xml:space="preserve">1.22.1  </w:t>
            </w:r>
            <w:proofErr w:type="gramStart"/>
            <w:r w:rsidRPr="003E7FFC">
              <w:t xml:space="preserve">   </w:t>
            </w:r>
            <w:r w:rsidR="00A34C9E">
              <w:t>“</w:t>
            </w:r>
            <w:proofErr w:type="gramEnd"/>
            <w:r w:rsidRPr="003E7FFC">
              <w:t>Fitch</w:t>
            </w:r>
            <w:r w:rsidR="00A34C9E">
              <w:t>”</w:t>
            </w:r>
            <w:r w:rsidRPr="003E7FFC">
              <w:t xml:space="preserve"> means Fitch Ratings (a subsidiary of </w:t>
            </w:r>
            <w:proofErr w:type="spellStart"/>
            <w:r w:rsidRPr="003E7FFC">
              <w:t>Fimilac</w:t>
            </w:r>
            <w:proofErr w:type="spellEnd"/>
            <w:r w:rsidRPr="003E7FFC">
              <w:t>, S.A.), or its successor.</w:t>
            </w:r>
          </w:p>
          <w:p w:rsidR="00D82933" w:rsidRPr="003E7FFC" w:rsidRDefault="00D82933" w:rsidP="008F7AFE">
            <w:pPr>
              <w:pStyle w:val="BodyTextIndent20"/>
              <w:spacing w:after="200"/>
              <w:jc w:val="both"/>
            </w:pPr>
            <w:permStart w:id="897331641" w:edGrp="everyone"/>
            <w:r w:rsidRPr="003E7FFC">
              <w:t xml:space="preserve">1.25.1       </w:t>
            </w:r>
            <w:r w:rsidR="00A34C9E">
              <w:t>“</w:t>
            </w:r>
            <w:r w:rsidRPr="003E7FFC">
              <w:t>Guaranty</w:t>
            </w:r>
            <w:r w:rsidR="00A34C9E">
              <w:t>”</w:t>
            </w:r>
            <w:r w:rsidRPr="003E7FFC">
              <w:t xml:space="preserve"> means an irrevocable and unconditional payment guaranty, substantially in the form set forth in Schedule 2 attached hereto, </w:t>
            </w:r>
            <w:r w:rsidR="00493D11" w:rsidRPr="00493D11">
              <w:t xml:space="preserve">or utilizing such forms with minor modifications that are acceptable to Buyer in its sole discretion, </w:t>
            </w:r>
            <w:r w:rsidRPr="003E7FFC">
              <w:t>made by an entity specified as the Guarantor on the Cover Sheet.</w:t>
            </w:r>
          </w:p>
          <w:permEnd w:id="897331641"/>
          <w:p w:rsidR="007130CD" w:rsidRPr="003E7FFC" w:rsidRDefault="007130CD" w:rsidP="008F7AFE">
            <w:pPr>
              <w:pStyle w:val="BlockText"/>
              <w:spacing w:after="200"/>
              <w:ind w:left="720"/>
            </w:pPr>
            <w:r w:rsidRPr="003E7FFC">
              <w:t xml:space="preserve">1.29.1   </w:t>
            </w:r>
            <w:proofErr w:type="gramStart"/>
            <w:r w:rsidRPr="003E7FFC">
              <w:t xml:space="preserve">   </w:t>
            </w:r>
            <w:r w:rsidR="00A34C9E">
              <w:t>“</w:t>
            </w:r>
            <w:proofErr w:type="gramEnd"/>
            <w:r w:rsidRPr="003E7FFC">
              <w:t>Minimum Rating</w:t>
            </w:r>
            <w:r w:rsidR="00A34C9E">
              <w:t>”</w:t>
            </w:r>
            <w:r w:rsidRPr="003E7FFC">
              <w:t xml:space="preserve"> means a Credi</w:t>
            </w:r>
            <w:r w:rsidR="00A0137A" w:rsidRPr="003E7FFC">
              <w:t xml:space="preserve">t Rating that is at least </w:t>
            </w:r>
            <w:r w:rsidR="00A34C9E">
              <w:t>“</w:t>
            </w:r>
            <w:r w:rsidR="00A0137A" w:rsidRPr="003E7FFC">
              <w:t>BBB-</w:t>
            </w:r>
            <w:r w:rsidR="00A34C9E">
              <w:t>”</w:t>
            </w:r>
            <w:r w:rsidRPr="003E7FFC">
              <w:t xml:space="preserve"> from S&amp;</w:t>
            </w:r>
            <w:r w:rsidR="00A0137A" w:rsidRPr="003E7FFC">
              <w:t xml:space="preserve">P, </w:t>
            </w:r>
            <w:r w:rsidR="00A34C9E">
              <w:t>“</w:t>
            </w:r>
            <w:r w:rsidR="00A0137A" w:rsidRPr="003E7FFC">
              <w:t>Baa3</w:t>
            </w:r>
            <w:r w:rsidR="00A34C9E">
              <w:t>”</w:t>
            </w:r>
            <w:r w:rsidR="00A0137A" w:rsidRPr="003E7FFC">
              <w:t xml:space="preserve"> from Moody</w:t>
            </w:r>
            <w:r w:rsidR="00A34C9E">
              <w:t>’</w:t>
            </w:r>
            <w:r w:rsidR="00A0137A" w:rsidRPr="003E7FFC">
              <w:t xml:space="preserve">s or </w:t>
            </w:r>
            <w:r w:rsidR="00A34C9E">
              <w:t>“</w:t>
            </w:r>
            <w:r w:rsidR="00A0137A" w:rsidRPr="003E7FFC">
              <w:t>BBB-</w:t>
            </w:r>
            <w:r w:rsidR="00A34C9E">
              <w:t>”</w:t>
            </w:r>
            <w:r w:rsidRPr="003E7FFC">
              <w:t xml:space="preserve"> from Fitch</w:t>
            </w:r>
            <w:r w:rsidR="002B35C9">
              <w:t xml:space="preserve">.  </w:t>
            </w:r>
            <w:r w:rsidRPr="003E7FFC">
              <w:t>If a party is rated by only one rating agency, that rating will be used</w:t>
            </w:r>
            <w:r w:rsidR="002B35C9">
              <w:t xml:space="preserve">.  </w:t>
            </w:r>
            <w:r w:rsidRPr="003E7FFC">
              <w:t>If party is rated by only two rating agencies, and the ratings are split, the lower rating will be used</w:t>
            </w:r>
            <w:r w:rsidR="002B35C9">
              <w:t xml:space="preserve">.  </w:t>
            </w:r>
            <w:r w:rsidRPr="003E7FFC">
              <w:t xml:space="preserve">If a party is rated by three rating agencies, and the ratings are split, the lower of the two highest ratings will be used; provided that </w:t>
            </w:r>
            <w:proofErr w:type="gramStart"/>
            <w:r w:rsidRPr="003E7FFC">
              <w:t>in the event that</w:t>
            </w:r>
            <w:proofErr w:type="gramEnd"/>
            <w:r w:rsidRPr="003E7FFC">
              <w:t xml:space="preserve"> the two highest ratings are common, such common rating will be used.</w:t>
            </w:r>
          </w:p>
          <w:p w:rsidR="007130CD" w:rsidRPr="003E7FFC" w:rsidRDefault="007130CD" w:rsidP="008F7AFE">
            <w:pPr>
              <w:pStyle w:val="BlockText"/>
              <w:spacing w:after="200"/>
              <w:ind w:left="720"/>
            </w:pPr>
            <w:r w:rsidRPr="003E7FFC">
              <w:t xml:space="preserve">1.57.1  </w:t>
            </w:r>
            <w:proofErr w:type="gramStart"/>
            <w:r w:rsidRPr="003E7FFC">
              <w:t xml:space="preserve">   </w:t>
            </w:r>
            <w:r w:rsidR="00A34C9E">
              <w:t>“</w:t>
            </w:r>
            <w:proofErr w:type="gramEnd"/>
            <w:r w:rsidRPr="003E7FFC">
              <w:t>Standard Products</w:t>
            </w:r>
            <w:r w:rsidR="009C0AC4" w:rsidRPr="003E7FFC">
              <w:t xml:space="preserve"> RFP</w:t>
            </w:r>
            <w:r w:rsidR="00A34C9E">
              <w:t>”</w:t>
            </w:r>
            <w:r w:rsidRPr="003E7FFC">
              <w:t xml:space="preserve"> means the RFP or Request for Proposals conducted</w:t>
            </w:r>
            <w:r w:rsidR="006B7229" w:rsidRPr="003E7FFC">
              <w:t xml:space="preserve"> </w:t>
            </w:r>
            <w:r w:rsidRPr="003E7FFC">
              <w:t>to procure energy supply for Party B pursuant to section 16-111.5 of the Illinois Public Utilities Act (220 ILCS 5/16-111.5).</w:t>
            </w:r>
          </w:p>
          <w:p w:rsidR="007130CD" w:rsidRDefault="005B2FC7" w:rsidP="00DC6A71">
            <w:pPr>
              <w:pStyle w:val="BlockText"/>
              <w:ind w:left="720"/>
            </w:pPr>
            <w:r w:rsidRPr="003E7FFC">
              <w:t xml:space="preserve">1.57.3     </w:t>
            </w:r>
            <w:r w:rsidR="00A34C9E">
              <w:t>“</w:t>
            </w:r>
            <w:r w:rsidRPr="003E7FFC">
              <w:t>Supply Contracts</w:t>
            </w:r>
            <w:r w:rsidR="00A34C9E">
              <w:t>”</w:t>
            </w:r>
            <w:r w:rsidRPr="003E7FFC">
              <w:t xml:space="preserve"> means (i) contracts for energy supply</w:t>
            </w:r>
            <w:r w:rsidR="00226A7F" w:rsidRPr="003E7FFC">
              <w:t xml:space="preserve"> or renewable energy credits</w:t>
            </w:r>
            <w:r w:rsidRPr="003E7FFC">
              <w:t xml:space="preserve"> entered into with Party B pursuant to the Request for Proposals conducted </w:t>
            </w:r>
            <w:r w:rsidR="006B7229" w:rsidRPr="003E7FFC">
              <w:t>prior to this procurement event and still in effect</w:t>
            </w:r>
            <w:r w:rsidRPr="003E7FFC">
              <w:t xml:space="preserve">, and (ii) contracts for energy supply </w:t>
            </w:r>
            <w:r w:rsidR="003D7B22" w:rsidRPr="003E7FFC">
              <w:t xml:space="preserve">or renewable energy credits </w:t>
            </w:r>
            <w:r w:rsidRPr="003E7FFC">
              <w:t>hereafter entered into with Party B pursuant to section 16-111.5 of the Illinois Public Utilities Act (220 ILCS 5/16-111.5)</w:t>
            </w:r>
            <w:r w:rsidR="007216B3" w:rsidRPr="003E7FFC">
              <w:t xml:space="preserve"> or pursuant to section 1-75 of the Illinois Power Agency Act (20 ILCS 3855/1-75)</w:t>
            </w:r>
            <w:r w:rsidRPr="003E7FFC">
              <w:t>.</w:t>
            </w:r>
          </w:p>
          <w:p w:rsidR="007130CD" w:rsidRPr="003E7FFC" w:rsidRDefault="007130CD" w:rsidP="00DC6A71">
            <w:pPr>
              <w:pStyle w:val="Heading1"/>
              <w:numPr>
                <w:ilvl w:val="0"/>
                <w:numId w:val="0"/>
              </w:numPr>
              <w:jc w:val="both"/>
              <w:rPr>
                <w:sz w:val="20"/>
              </w:rPr>
            </w:pPr>
            <w:r w:rsidRPr="003E7FFC">
              <w:rPr>
                <w:sz w:val="20"/>
              </w:rPr>
              <w:t>2</w:t>
            </w:r>
            <w:r w:rsidR="002B35C9">
              <w:rPr>
                <w:sz w:val="20"/>
              </w:rPr>
              <w:t xml:space="preserve">.  </w:t>
            </w:r>
            <w:r w:rsidRPr="003E7FFC">
              <w:rPr>
                <w:sz w:val="20"/>
              </w:rPr>
              <w:t>Section 1.3—</w:t>
            </w:r>
            <w:r w:rsidR="00DC7A53">
              <w:rPr>
                <w:sz w:val="20"/>
              </w:rPr>
              <w:t xml:space="preserve"> </w:t>
            </w:r>
            <w:r w:rsidR="00A34C9E">
              <w:rPr>
                <w:sz w:val="20"/>
              </w:rPr>
              <w:t>“</w:t>
            </w:r>
            <w:r w:rsidRPr="003E7FFC">
              <w:rPr>
                <w:sz w:val="20"/>
              </w:rPr>
              <w:t>Bankrupt</w:t>
            </w:r>
            <w:r w:rsidR="00A34C9E">
              <w:rPr>
                <w:sz w:val="20"/>
              </w:rPr>
              <w:t>”</w:t>
            </w:r>
            <w:r w:rsidRPr="003E7FFC">
              <w:rPr>
                <w:sz w:val="20"/>
              </w:rPr>
              <w:t xml:space="preserve">  </w:t>
            </w:r>
          </w:p>
          <w:p w:rsidR="007130CD" w:rsidRPr="003E7FFC" w:rsidRDefault="007130CD" w:rsidP="00DC6A71">
            <w:pPr>
              <w:pStyle w:val="BlockText"/>
              <w:ind w:firstLine="18"/>
            </w:pPr>
            <w:r w:rsidRPr="003E7FFC">
              <w:t xml:space="preserve">The definition of </w:t>
            </w:r>
            <w:r w:rsidR="00A34C9E">
              <w:t>“</w:t>
            </w:r>
            <w:r w:rsidRPr="003E7FFC">
              <w:t>Bankrupt</w:t>
            </w:r>
            <w:r w:rsidR="00A34C9E">
              <w:t>”</w:t>
            </w:r>
            <w:r w:rsidRPr="003E7FFC">
              <w:t xml:space="preserve"> in Section 1.3 is amended by adding the following to the end of subsection (i):</w:t>
            </w:r>
          </w:p>
          <w:p w:rsidR="00C87B27" w:rsidRDefault="00A34C9E" w:rsidP="00DC6A71">
            <w:pPr>
              <w:pStyle w:val="BlockText"/>
              <w:ind w:left="720"/>
            </w:pPr>
            <w:r>
              <w:t>“</w:t>
            </w:r>
            <w:r w:rsidR="007130CD" w:rsidRPr="003E7FFC">
              <w:t>and</w:t>
            </w:r>
            <w:r w:rsidR="008E5C04" w:rsidRPr="003E7FFC">
              <w:t>, in the case of such petition filed or commenced against it, such petition is</w:t>
            </w:r>
            <w:r w:rsidR="007130CD" w:rsidRPr="003E7FFC">
              <w:t xml:space="preserve"> not dismissed within 30 days</w:t>
            </w:r>
            <w:r>
              <w:t>”</w:t>
            </w:r>
            <w:r w:rsidR="008E5C04" w:rsidRPr="003E7FFC">
              <w:t xml:space="preserve"> </w:t>
            </w:r>
          </w:p>
          <w:p w:rsidR="007130CD" w:rsidRPr="003E7FFC" w:rsidRDefault="007130CD" w:rsidP="00DC6A71">
            <w:pPr>
              <w:pStyle w:val="Heading1"/>
              <w:numPr>
                <w:ilvl w:val="0"/>
                <w:numId w:val="0"/>
              </w:numPr>
              <w:jc w:val="both"/>
              <w:rPr>
                <w:sz w:val="20"/>
              </w:rPr>
            </w:pPr>
            <w:r w:rsidRPr="003E7FFC">
              <w:rPr>
                <w:sz w:val="20"/>
              </w:rPr>
              <w:lastRenderedPageBreak/>
              <w:t>3</w:t>
            </w:r>
            <w:r w:rsidR="002B35C9">
              <w:rPr>
                <w:sz w:val="20"/>
              </w:rPr>
              <w:t xml:space="preserve">.  </w:t>
            </w:r>
            <w:r w:rsidRPr="003E7FFC">
              <w:rPr>
                <w:sz w:val="20"/>
              </w:rPr>
              <w:t>Section 1.4—</w:t>
            </w:r>
            <w:r w:rsidR="00DC7A53">
              <w:rPr>
                <w:sz w:val="20"/>
              </w:rPr>
              <w:t xml:space="preserve"> </w:t>
            </w:r>
            <w:r w:rsidR="00A34C9E">
              <w:rPr>
                <w:sz w:val="20"/>
              </w:rPr>
              <w:t>“</w:t>
            </w:r>
            <w:r w:rsidRPr="003E7FFC">
              <w:rPr>
                <w:sz w:val="20"/>
              </w:rPr>
              <w:t>Business Day</w:t>
            </w:r>
            <w:r w:rsidR="00A34C9E">
              <w:rPr>
                <w:sz w:val="20"/>
              </w:rPr>
              <w:t>”</w:t>
            </w:r>
            <w:r w:rsidRPr="003E7FFC">
              <w:rPr>
                <w:sz w:val="20"/>
              </w:rPr>
              <w:t xml:space="preserve">  </w:t>
            </w:r>
          </w:p>
          <w:p w:rsidR="007130CD" w:rsidRPr="003E7FFC" w:rsidRDefault="007130CD" w:rsidP="00DC6A71">
            <w:pPr>
              <w:pStyle w:val="BlockText"/>
              <w:ind w:firstLine="18"/>
            </w:pPr>
            <w:r w:rsidRPr="003E7FFC">
              <w:t xml:space="preserve">The definition of </w:t>
            </w:r>
            <w:r w:rsidR="00A34C9E">
              <w:t>“</w:t>
            </w:r>
            <w:r w:rsidRPr="003E7FFC">
              <w:t>Business Day</w:t>
            </w:r>
            <w:r w:rsidR="00A34C9E">
              <w:t>”</w:t>
            </w:r>
            <w:r w:rsidRPr="003E7FFC">
              <w:t xml:space="preserve"> in Section 1.4 is amended, in its entirety, to read:</w:t>
            </w:r>
          </w:p>
          <w:p w:rsidR="00521245" w:rsidRPr="003E7FFC" w:rsidRDefault="00A34C9E" w:rsidP="00DC6A71">
            <w:pPr>
              <w:pStyle w:val="BlockText"/>
              <w:ind w:left="720"/>
            </w:pPr>
            <w:r>
              <w:t>“</w:t>
            </w:r>
            <w:r w:rsidR="007130CD" w:rsidRPr="003E7FFC">
              <w:t>Business Day</w:t>
            </w:r>
            <w:r>
              <w:t>”</w:t>
            </w:r>
            <w:r w:rsidR="007130CD" w:rsidRPr="003E7FFC">
              <w:t xml:space="preserve"> means any day on which </w:t>
            </w:r>
            <w:r w:rsidR="00C037F5" w:rsidRPr="003E7FFC">
              <w:t xml:space="preserve">Federal Reserve Banks and Branches are open for business, such that </w:t>
            </w:r>
            <w:r w:rsidR="007130CD" w:rsidRPr="003E7FFC">
              <w:t xml:space="preserve">payments can be </w:t>
            </w:r>
            <w:proofErr w:type="gramStart"/>
            <w:r w:rsidR="007130CD" w:rsidRPr="003E7FFC">
              <w:t>effected</w:t>
            </w:r>
            <w:proofErr w:type="gramEnd"/>
            <w:r w:rsidR="007130CD" w:rsidRPr="003E7FFC">
              <w:t xml:space="preserve"> on the Fedwire system.</w:t>
            </w:r>
          </w:p>
          <w:p w:rsidR="007130CD" w:rsidRPr="003E7FFC" w:rsidRDefault="007130CD" w:rsidP="00DC6A71">
            <w:pPr>
              <w:pStyle w:val="Heading1"/>
              <w:numPr>
                <w:ilvl w:val="0"/>
                <w:numId w:val="0"/>
              </w:numPr>
              <w:jc w:val="both"/>
              <w:rPr>
                <w:sz w:val="20"/>
              </w:rPr>
            </w:pPr>
            <w:r w:rsidRPr="003E7FFC">
              <w:rPr>
                <w:sz w:val="20"/>
              </w:rPr>
              <w:t>4</w:t>
            </w:r>
            <w:r w:rsidR="002B35C9">
              <w:rPr>
                <w:sz w:val="20"/>
              </w:rPr>
              <w:t xml:space="preserve">.  </w:t>
            </w:r>
            <w:r w:rsidR="003055D4" w:rsidRPr="003E7FFC">
              <w:rPr>
                <w:sz w:val="20"/>
              </w:rPr>
              <w:t>Section 1.12—</w:t>
            </w:r>
            <w:r w:rsidR="00DC7A53">
              <w:rPr>
                <w:sz w:val="20"/>
              </w:rPr>
              <w:t xml:space="preserve"> </w:t>
            </w:r>
            <w:r w:rsidR="00A34C9E">
              <w:rPr>
                <w:sz w:val="20"/>
              </w:rPr>
              <w:t>“</w:t>
            </w:r>
            <w:r w:rsidR="003055D4" w:rsidRPr="003E7FFC">
              <w:rPr>
                <w:sz w:val="20"/>
              </w:rPr>
              <w:t>Credit Rating</w:t>
            </w:r>
            <w:r w:rsidR="00A34C9E">
              <w:rPr>
                <w:sz w:val="20"/>
              </w:rPr>
              <w:t>”</w:t>
            </w:r>
            <w:r w:rsidR="003055D4" w:rsidRPr="003E7FFC">
              <w:rPr>
                <w:sz w:val="20"/>
              </w:rPr>
              <w:t xml:space="preserve"> </w:t>
            </w:r>
          </w:p>
          <w:p w:rsidR="007130CD" w:rsidRPr="003E7FFC" w:rsidRDefault="007130CD" w:rsidP="00DC6A71">
            <w:pPr>
              <w:pStyle w:val="Heading1"/>
              <w:numPr>
                <w:ilvl w:val="0"/>
                <w:numId w:val="0"/>
              </w:numPr>
              <w:ind w:firstLine="18"/>
              <w:jc w:val="both"/>
              <w:rPr>
                <w:b w:val="0"/>
                <w:sz w:val="20"/>
              </w:rPr>
            </w:pPr>
            <w:r w:rsidRPr="003E7FFC">
              <w:rPr>
                <w:b w:val="0"/>
                <w:sz w:val="20"/>
              </w:rPr>
              <w:t xml:space="preserve">The definition of </w:t>
            </w:r>
            <w:r w:rsidR="00A34C9E">
              <w:rPr>
                <w:b w:val="0"/>
                <w:sz w:val="20"/>
              </w:rPr>
              <w:t>“</w:t>
            </w:r>
            <w:r w:rsidRPr="003E7FFC">
              <w:rPr>
                <w:b w:val="0"/>
                <w:sz w:val="20"/>
              </w:rPr>
              <w:t>Credit Rating</w:t>
            </w:r>
            <w:r w:rsidR="00A34C9E">
              <w:rPr>
                <w:b w:val="0"/>
                <w:sz w:val="20"/>
              </w:rPr>
              <w:t>”</w:t>
            </w:r>
            <w:r w:rsidRPr="003E7FFC">
              <w:rPr>
                <w:b w:val="0"/>
                <w:sz w:val="20"/>
              </w:rPr>
              <w:t xml:space="preserve"> in Section 1.12 is amended to read, in its entirety, as follows:</w:t>
            </w:r>
          </w:p>
          <w:p w:rsidR="00521245" w:rsidRPr="000053FC" w:rsidRDefault="00A34C9E" w:rsidP="00DC6A71">
            <w:pPr>
              <w:pStyle w:val="Heading2"/>
              <w:numPr>
                <w:ilvl w:val="1"/>
                <w:numId w:val="21"/>
              </w:numPr>
              <w:ind w:left="1382" w:hanging="662"/>
              <w:rPr>
                <w:sz w:val="20"/>
              </w:rPr>
            </w:pPr>
            <w:r>
              <w:rPr>
                <w:sz w:val="20"/>
              </w:rPr>
              <w:t>“</w:t>
            </w:r>
            <w:r w:rsidR="003C6367" w:rsidRPr="003E7FFC">
              <w:rPr>
                <w:sz w:val="20"/>
              </w:rPr>
              <w:t>Credit Rating</w:t>
            </w:r>
            <w:r>
              <w:rPr>
                <w:sz w:val="20"/>
              </w:rPr>
              <w:t>”</w:t>
            </w:r>
            <w:r w:rsidR="003C6367" w:rsidRPr="003E7FFC">
              <w:rPr>
                <w:sz w:val="20"/>
              </w:rPr>
              <w:t xml:space="preserve"> means, with respect to any entity, the rating then assigned to such entity</w:t>
            </w:r>
            <w:r>
              <w:rPr>
                <w:sz w:val="20"/>
              </w:rPr>
              <w:t>’</w:t>
            </w:r>
            <w:r w:rsidR="003C6367" w:rsidRPr="003E7FFC">
              <w:rPr>
                <w:sz w:val="20"/>
              </w:rPr>
              <w:t xml:space="preserve">s unsecured, senior long-term debt obligations (excluding, however, any debt obligations that are supported by specific third party credit enhancements that would not apply to payment obligations under this Agreement) </w:t>
            </w:r>
            <w:r w:rsidR="009942CA" w:rsidRPr="003E7FFC">
              <w:rPr>
                <w:sz w:val="20"/>
              </w:rPr>
              <w:t>or if such entity does not have a rating for its senior unsecured long-term debt, then the rating then assigned to such entity as an issuer default rating by Fitch, or the issuer rating by Moody</w:t>
            </w:r>
            <w:r>
              <w:rPr>
                <w:sz w:val="20"/>
              </w:rPr>
              <w:t>’</w:t>
            </w:r>
            <w:r w:rsidR="009942CA" w:rsidRPr="003E7FFC">
              <w:rPr>
                <w:sz w:val="20"/>
              </w:rPr>
              <w:t>s,</w:t>
            </w:r>
            <w:r w:rsidR="003C6367" w:rsidRPr="003E7FFC">
              <w:rPr>
                <w:sz w:val="20"/>
              </w:rPr>
              <w:t xml:space="preserve"> or the corporate issuer rating by S&amp;P if such entity is a utility with an investment grade rating, or the corporate issuer rating, discounted one notch, by S&amp;P if such entity is not a utility with an investment grade rating, or any other rating agency agreed by the Parties as set forth in the Cover Sheet.</w:t>
            </w:r>
          </w:p>
          <w:p w:rsidR="003055D4" w:rsidRPr="003E7FFC" w:rsidRDefault="003055D4" w:rsidP="00DC6A71">
            <w:pPr>
              <w:pStyle w:val="ListNumbers"/>
              <w:numPr>
                <w:ilvl w:val="0"/>
                <w:numId w:val="0"/>
              </w:numPr>
              <w:spacing w:after="240"/>
              <w:jc w:val="both"/>
              <w:rPr>
                <w:b/>
                <w:bCs/>
              </w:rPr>
            </w:pPr>
            <w:r w:rsidRPr="003E7FFC">
              <w:rPr>
                <w:b/>
                <w:bCs/>
              </w:rPr>
              <w:t>5</w:t>
            </w:r>
            <w:r w:rsidR="002B35C9">
              <w:rPr>
                <w:b/>
                <w:bCs/>
              </w:rPr>
              <w:t xml:space="preserve">.  </w:t>
            </w:r>
            <w:r w:rsidRPr="003E7FFC">
              <w:rPr>
                <w:b/>
                <w:bCs/>
              </w:rPr>
              <w:t>Section 1.23</w:t>
            </w:r>
            <w:r w:rsidR="004E0826" w:rsidRPr="003E7FFC">
              <w:t>—</w:t>
            </w:r>
            <w:r w:rsidR="004E0826" w:rsidRPr="003E7FFC" w:rsidDel="004E0826">
              <w:rPr>
                <w:b/>
                <w:bCs/>
              </w:rPr>
              <w:t xml:space="preserve"> </w:t>
            </w:r>
            <w:r w:rsidR="00A34C9E">
              <w:rPr>
                <w:b/>
                <w:bCs/>
              </w:rPr>
              <w:t>“</w:t>
            </w:r>
            <w:r w:rsidRPr="003E7FFC">
              <w:rPr>
                <w:b/>
                <w:bCs/>
              </w:rPr>
              <w:t>Force Majeure</w:t>
            </w:r>
            <w:r w:rsidR="00A34C9E">
              <w:rPr>
                <w:b/>
                <w:bCs/>
              </w:rPr>
              <w:t>”</w:t>
            </w:r>
          </w:p>
          <w:p w:rsidR="003055D4" w:rsidRPr="003E7FFC" w:rsidRDefault="003055D4" w:rsidP="00DC6A71">
            <w:pPr>
              <w:spacing w:after="240"/>
              <w:ind w:left="766"/>
              <w:jc w:val="both"/>
              <w:rPr>
                <w:sz w:val="20"/>
              </w:rPr>
            </w:pPr>
            <w:r w:rsidRPr="003E7FFC">
              <w:rPr>
                <w:sz w:val="20"/>
              </w:rPr>
              <w:t xml:space="preserve">Section 1.23(ii) is amended by adding, after the word </w:t>
            </w:r>
            <w:r w:rsidR="00A34C9E">
              <w:rPr>
                <w:sz w:val="20"/>
              </w:rPr>
              <w:t>“</w:t>
            </w:r>
            <w:r w:rsidRPr="003E7FFC">
              <w:rPr>
                <w:sz w:val="20"/>
              </w:rPr>
              <w:t>hereunder</w:t>
            </w:r>
            <w:r w:rsidR="00A34C9E">
              <w:rPr>
                <w:sz w:val="20"/>
              </w:rPr>
              <w:t>”</w:t>
            </w:r>
            <w:r w:rsidRPr="003E7FFC">
              <w:rPr>
                <w:sz w:val="20"/>
              </w:rPr>
              <w:t xml:space="preserve"> in</w:t>
            </w:r>
          </w:p>
          <w:p w:rsidR="003055D4" w:rsidRPr="003E7FFC" w:rsidRDefault="003055D4" w:rsidP="00DC6A71">
            <w:pPr>
              <w:spacing w:after="240"/>
              <w:ind w:left="766"/>
              <w:jc w:val="both"/>
              <w:rPr>
                <w:sz w:val="20"/>
              </w:rPr>
            </w:pPr>
            <w:r w:rsidRPr="003E7FFC">
              <w:rPr>
                <w:sz w:val="20"/>
              </w:rPr>
              <w:t xml:space="preserve">the second sentence, the following: </w:t>
            </w:r>
            <w:r w:rsidR="00A34C9E">
              <w:rPr>
                <w:sz w:val="20"/>
              </w:rPr>
              <w:t>“</w:t>
            </w:r>
            <w:r w:rsidRPr="003E7FFC">
              <w:rPr>
                <w:sz w:val="20"/>
              </w:rPr>
              <w:t>or Buyer</w:t>
            </w:r>
            <w:r w:rsidR="00A34C9E">
              <w:rPr>
                <w:sz w:val="20"/>
              </w:rPr>
              <w:t>’</w:t>
            </w:r>
            <w:r w:rsidRPr="003E7FFC">
              <w:rPr>
                <w:sz w:val="20"/>
              </w:rPr>
              <w:t xml:space="preserve">s ability to obtain the </w:t>
            </w:r>
          </w:p>
          <w:p w:rsidR="003055D4" w:rsidRPr="003E7FFC" w:rsidRDefault="003055D4" w:rsidP="00DC6A71">
            <w:pPr>
              <w:spacing w:after="240"/>
              <w:ind w:left="766"/>
              <w:jc w:val="both"/>
              <w:rPr>
                <w:sz w:val="20"/>
              </w:rPr>
            </w:pPr>
            <w:r w:rsidRPr="003E7FFC">
              <w:rPr>
                <w:sz w:val="20"/>
              </w:rPr>
              <w:t>Product at a more advantageous price or under more advantageous</w:t>
            </w:r>
          </w:p>
          <w:p w:rsidR="00AA5C1E" w:rsidRPr="00521245" w:rsidRDefault="003055D4" w:rsidP="00DC6A71">
            <w:pPr>
              <w:spacing w:after="240"/>
              <w:ind w:left="766"/>
              <w:jc w:val="both"/>
              <w:rPr>
                <w:sz w:val="20"/>
              </w:rPr>
            </w:pPr>
            <w:r w:rsidRPr="003E7FFC">
              <w:rPr>
                <w:sz w:val="20"/>
              </w:rPr>
              <w:t xml:space="preserve">terms and conditions from a </w:t>
            </w:r>
            <w:proofErr w:type="gramStart"/>
            <w:r w:rsidRPr="003E7FFC">
              <w:rPr>
                <w:sz w:val="20"/>
              </w:rPr>
              <w:t>third party</w:t>
            </w:r>
            <w:proofErr w:type="gramEnd"/>
            <w:r w:rsidRPr="003E7FFC">
              <w:rPr>
                <w:sz w:val="20"/>
              </w:rPr>
              <w:t xml:space="preserve"> supplier</w:t>
            </w:r>
            <w:r w:rsidR="00A34C9E">
              <w:rPr>
                <w:sz w:val="20"/>
              </w:rPr>
              <w:t>”</w:t>
            </w:r>
            <w:r w:rsidRPr="003E7FFC">
              <w:rPr>
                <w:sz w:val="20"/>
              </w:rPr>
              <w:t>.</w:t>
            </w:r>
          </w:p>
          <w:p w:rsidR="007130CD" w:rsidRPr="003E7FFC" w:rsidRDefault="003055D4" w:rsidP="00DC6A71">
            <w:pPr>
              <w:pStyle w:val="BodyText"/>
              <w:spacing w:after="240"/>
              <w:jc w:val="both"/>
              <w:rPr>
                <w:b/>
                <w:bCs/>
                <w:sz w:val="20"/>
              </w:rPr>
            </w:pPr>
            <w:r w:rsidRPr="003E7FFC">
              <w:rPr>
                <w:b/>
                <w:bCs/>
                <w:sz w:val="20"/>
              </w:rPr>
              <w:t>6</w:t>
            </w:r>
            <w:r w:rsidR="002B35C9">
              <w:rPr>
                <w:b/>
                <w:bCs/>
                <w:sz w:val="20"/>
              </w:rPr>
              <w:t xml:space="preserve">.  </w:t>
            </w:r>
            <w:r w:rsidR="007130CD" w:rsidRPr="003E7FFC">
              <w:rPr>
                <w:b/>
                <w:bCs/>
                <w:sz w:val="20"/>
              </w:rPr>
              <w:t>Section 1.25</w:t>
            </w:r>
            <w:r w:rsidR="004E0826" w:rsidRPr="003E7FFC">
              <w:rPr>
                <w:sz w:val="20"/>
              </w:rPr>
              <w:t>—</w:t>
            </w:r>
            <w:r w:rsidR="004E0826" w:rsidRPr="003E7FFC" w:rsidDel="004E0826">
              <w:rPr>
                <w:b/>
                <w:bCs/>
                <w:sz w:val="20"/>
              </w:rPr>
              <w:t xml:space="preserve"> </w:t>
            </w:r>
            <w:r w:rsidR="00A34C9E">
              <w:rPr>
                <w:b/>
                <w:bCs/>
                <w:sz w:val="20"/>
              </w:rPr>
              <w:t>“</w:t>
            </w:r>
            <w:r w:rsidR="007130CD" w:rsidRPr="003E7FFC">
              <w:rPr>
                <w:b/>
                <w:bCs/>
                <w:sz w:val="20"/>
              </w:rPr>
              <w:t>Guarantor</w:t>
            </w:r>
            <w:r w:rsidR="00A34C9E">
              <w:rPr>
                <w:b/>
                <w:bCs/>
                <w:sz w:val="20"/>
              </w:rPr>
              <w:t>”</w:t>
            </w:r>
          </w:p>
          <w:p w:rsidR="007130CD" w:rsidRPr="003E7FFC" w:rsidRDefault="007130CD" w:rsidP="00DC6A71">
            <w:pPr>
              <w:pStyle w:val="BodyText"/>
              <w:spacing w:after="240"/>
              <w:ind w:left="18"/>
              <w:jc w:val="both"/>
              <w:rPr>
                <w:sz w:val="20"/>
              </w:rPr>
            </w:pPr>
            <w:r w:rsidRPr="003E7FFC">
              <w:rPr>
                <w:sz w:val="20"/>
              </w:rPr>
              <w:t xml:space="preserve">The definition of </w:t>
            </w:r>
            <w:r w:rsidR="00A34C9E">
              <w:rPr>
                <w:sz w:val="20"/>
              </w:rPr>
              <w:t>“</w:t>
            </w:r>
            <w:r w:rsidRPr="003E7FFC">
              <w:rPr>
                <w:sz w:val="20"/>
              </w:rPr>
              <w:t>Guarantor</w:t>
            </w:r>
            <w:r w:rsidR="00A34C9E">
              <w:rPr>
                <w:sz w:val="20"/>
              </w:rPr>
              <w:t>”</w:t>
            </w:r>
            <w:r w:rsidRPr="003E7FFC">
              <w:rPr>
                <w:sz w:val="20"/>
              </w:rPr>
              <w:t xml:space="preserve"> in Section 1.25 is amended to read, in its entirety, as follows:</w:t>
            </w:r>
          </w:p>
          <w:p w:rsidR="00C87B27" w:rsidRPr="003E7FFC" w:rsidRDefault="007130CD" w:rsidP="00DC6A71">
            <w:pPr>
              <w:pStyle w:val="BodyText"/>
              <w:spacing w:after="240"/>
              <w:ind w:left="720"/>
              <w:jc w:val="both"/>
              <w:rPr>
                <w:sz w:val="20"/>
              </w:rPr>
            </w:pPr>
            <w:r w:rsidRPr="003E7FFC">
              <w:rPr>
                <w:sz w:val="20"/>
              </w:rPr>
              <w:t xml:space="preserve">1.25        </w:t>
            </w:r>
            <w:r w:rsidR="00A34C9E">
              <w:rPr>
                <w:sz w:val="20"/>
              </w:rPr>
              <w:t>“</w:t>
            </w:r>
            <w:r w:rsidRPr="003E7FFC">
              <w:rPr>
                <w:sz w:val="20"/>
              </w:rPr>
              <w:t>Guarantor</w:t>
            </w:r>
            <w:r w:rsidR="00A34C9E">
              <w:rPr>
                <w:sz w:val="20"/>
              </w:rPr>
              <w:t>”</w:t>
            </w:r>
            <w:r w:rsidRPr="003E7FFC">
              <w:rPr>
                <w:sz w:val="20"/>
              </w:rPr>
              <w:t xml:space="preserve"> means, with respect to a Party, the guarantor, if any, specified for such Party on the Cover Sheet whose Credit Rating will be used to determine that Party</w:t>
            </w:r>
            <w:r w:rsidR="00A34C9E">
              <w:rPr>
                <w:sz w:val="20"/>
              </w:rPr>
              <w:t>’</w:t>
            </w:r>
            <w:r w:rsidRPr="003E7FFC">
              <w:rPr>
                <w:sz w:val="20"/>
              </w:rPr>
              <w:t>s Collateral Threshold pursuant to Paragraph 10 to the Collateral Annex, and who enters into a Guaranty</w:t>
            </w:r>
            <w:r w:rsidR="00885FB8" w:rsidRPr="003E7FFC">
              <w:rPr>
                <w:sz w:val="20"/>
              </w:rPr>
              <w:t xml:space="preserve"> and, in the case of a guarantor who is not formed or organized under the laws of a state of the United States or the District of Columbia, complies with the requirements of Schedule 2B to the Collateral Annex</w:t>
            </w:r>
            <w:r w:rsidRPr="003E7FFC">
              <w:rPr>
                <w:sz w:val="20"/>
              </w:rPr>
              <w:t>.</w:t>
            </w:r>
          </w:p>
          <w:p w:rsidR="007130CD" w:rsidRPr="003E7FFC" w:rsidRDefault="003055D4" w:rsidP="00DC6A71">
            <w:pPr>
              <w:pStyle w:val="BodyTextFirstIndent"/>
              <w:ind w:firstLine="0"/>
              <w:rPr>
                <w:b/>
                <w:bCs/>
                <w:sz w:val="20"/>
              </w:rPr>
            </w:pPr>
            <w:r w:rsidRPr="003E7FFC">
              <w:rPr>
                <w:b/>
                <w:sz w:val="20"/>
              </w:rPr>
              <w:t>7</w:t>
            </w:r>
            <w:r w:rsidR="002B35C9">
              <w:rPr>
                <w:b/>
                <w:sz w:val="20"/>
              </w:rPr>
              <w:t xml:space="preserve">.  </w:t>
            </w:r>
            <w:r w:rsidR="007130CD" w:rsidRPr="003E7FFC">
              <w:rPr>
                <w:b/>
                <w:bCs/>
                <w:sz w:val="20"/>
              </w:rPr>
              <w:t>Section 1.27</w:t>
            </w:r>
            <w:r w:rsidR="004E0826" w:rsidRPr="003E7FFC">
              <w:rPr>
                <w:sz w:val="20"/>
              </w:rPr>
              <w:t>—</w:t>
            </w:r>
            <w:r w:rsidR="00DC7A53">
              <w:rPr>
                <w:sz w:val="20"/>
              </w:rPr>
              <w:t xml:space="preserve"> </w:t>
            </w:r>
            <w:r w:rsidR="00A34C9E">
              <w:rPr>
                <w:b/>
                <w:bCs/>
                <w:sz w:val="20"/>
              </w:rPr>
              <w:t>“</w:t>
            </w:r>
            <w:r w:rsidR="007130CD" w:rsidRPr="003E7FFC">
              <w:rPr>
                <w:b/>
                <w:bCs/>
                <w:sz w:val="20"/>
              </w:rPr>
              <w:t>Letter(s) of Credit</w:t>
            </w:r>
            <w:r w:rsidR="00A34C9E">
              <w:rPr>
                <w:b/>
                <w:bCs/>
                <w:sz w:val="20"/>
              </w:rPr>
              <w:t>”</w:t>
            </w:r>
          </w:p>
          <w:p w:rsidR="00C87B27" w:rsidRPr="000053FC" w:rsidRDefault="007130CD" w:rsidP="00DC6A71">
            <w:pPr>
              <w:pStyle w:val="BodyText"/>
              <w:spacing w:after="240"/>
              <w:jc w:val="both"/>
              <w:rPr>
                <w:b/>
                <w:bCs/>
                <w:sz w:val="20"/>
              </w:rPr>
            </w:pPr>
            <w:permStart w:id="598278451" w:edGrp="everyone"/>
            <w:r w:rsidRPr="003E7FFC">
              <w:rPr>
                <w:sz w:val="20"/>
              </w:rPr>
              <w:t xml:space="preserve">The definition of </w:t>
            </w:r>
            <w:r w:rsidR="00A34C9E">
              <w:rPr>
                <w:sz w:val="20"/>
              </w:rPr>
              <w:t>“</w:t>
            </w:r>
            <w:r w:rsidRPr="003E7FFC">
              <w:rPr>
                <w:sz w:val="20"/>
              </w:rPr>
              <w:t>Letter(s) of Credit</w:t>
            </w:r>
            <w:r w:rsidR="00A34C9E">
              <w:rPr>
                <w:sz w:val="20"/>
              </w:rPr>
              <w:t>”</w:t>
            </w:r>
            <w:r w:rsidRPr="003E7FFC">
              <w:rPr>
                <w:sz w:val="20"/>
              </w:rPr>
              <w:t xml:space="preserve"> is amended by deleting everything after </w:t>
            </w:r>
            <w:r w:rsidR="00A34C9E">
              <w:rPr>
                <w:sz w:val="20"/>
              </w:rPr>
              <w:t>“</w:t>
            </w:r>
            <w:r w:rsidR="00293B7C" w:rsidRPr="003E7FFC">
              <w:rPr>
                <w:sz w:val="20"/>
              </w:rPr>
              <w:t>of credit</w:t>
            </w:r>
            <w:r w:rsidR="00A34C9E">
              <w:rPr>
                <w:sz w:val="20"/>
              </w:rPr>
              <w:t>”</w:t>
            </w:r>
            <w:r w:rsidRPr="003E7FFC">
              <w:rPr>
                <w:sz w:val="20"/>
              </w:rPr>
              <w:t xml:space="preserve"> in line </w:t>
            </w:r>
            <w:r w:rsidR="00293B7C" w:rsidRPr="003E7FFC">
              <w:rPr>
                <w:sz w:val="20"/>
              </w:rPr>
              <w:t xml:space="preserve">two </w:t>
            </w:r>
            <w:r w:rsidRPr="003E7FFC">
              <w:rPr>
                <w:sz w:val="20"/>
              </w:rPr>
              <w:t>(</w:t>
            </w:r>
            <w:r w:rsidR="00293B7C" w:rsidRPr="003E7FFC">
              <w:rPr>
                <w:sz w:val="20"/>
              </w:rPr>
              <w:t>2</w:t>
            </w:r>
            <w:r w:rsidRPr="003E7FFC">
              <w:rPr>
                <w:sz w:val="20"/>
              </w:rPr>
              <w:t xml:space="preserve">), and adding </w:t>
            </w:r>
            <w:r w:rsidR="00A34C9E">
              <w:rPr>
                <w:sz w:val="20"/>
              </w:rPr>
              <w:t>“</w:t>
            </w:r>
            <w:r w:rsidR="00293B7C" w:rsidRPr="003E7FFC">
              <w:rPr>
                <w:sz w:val="20"/>
              </w:rPr>
              <w:t>substantially in the form of Schedule 1</w:t>
            </w:r>
            <w:r w:rsidR="00E65785" w:rsidRPr="003E7FFC">
              <w:rPr>
                <w:sz w:val="20"/>
              </w:rPr>
              <w:t>a</w:t>
            </w:r>
            <w:r w:rsidR="00293B7C" w:rsidRPr="003E7FFC">
              <w:rPr>
                <w:sz w:val="20"/>
              </w:rPr>
              <w:t xml:space="preserve"> to the Collateral Annex with such modifications as are approved by the administrator of </w:t>
            </w:r>
            <w:r w:rsidR="00293B7C" w:rsidRPr="003E7FFC">
              <w:rPr>
                <w:sz w:val="20"/>
              </w:rPr>
              <w:lastRenderedPageBreak/>
              <w:t>the Standard Products RFP and posted to the Standard Products</w:t>
            </w:r>
            <w:r w:rsidR="00A8347C" w:rsidRPr="003E7FFC">
              <w:rPr>
                <w:sz w:val="20"/>
              </w:rPr>
              <w:t xml:space="preserve"> </w:t>
            </w:r>
            <w:r w:rsidR="00293B7C" w:rsidRPr="003E7FFC">
              <w:rPr>
                <w:sz w:val="20"/>
              </w:rPr>
              <w:t>RFP website as acceptable modifications to the Letter of Credit</w:t>
            </w:r>
            <w:r w:rsidR="00493D11">
              <w:rPr>
                <w:sz w:val="20"/>
              </w:rPr>
              <w:t xml:space="preserve"> </w:t>
            </w:r>
            <w:r w:rsidR="00493D11" w:rsidRPr="00493D11">
              <w:rPr>
                <w:sz w:val="20"/>
              </w:rPr>
              <w:t>or utilizing such forms with minor modifications that are acceptable to Buyer in its sole discretion</w:t>
            </w:r>
            <w:r w:rsidR="002B35C9">
              <w:rPr>
                <w:sz w:val="20"/>
              </w:rPr>
              <w:t xml:space="preserve">.  </w:t>
            </w:r>
            <w:r w:rsidR="00293B7C" w:rsidRPr="003E7FFC">
              <w:rPr>
                <w:sz w:val="20"/>
              </w:rPr>
              <w:t>Costs of a Letter of Credit shall be borne by the applicant for such Letter of Credit</w:t>
            </w:r>
            <w:r w:rsidR="002B35C9">
              <w:rPr>
                <w:sz w:val="20"/>
              </w:rPr>
              <w:t xml:space="preserve">.  </w:t>
            </w:r>
            <w:r w:rsidR="00293B7C" w:rsidRPr="003E7FFC">
              <w:rPr>
                <w:sz w:val="20"/>
              </w:rPr>
              <w:t>Each such letter of credit must be issued by a U.S</w:t>
            </w:r>
            <w:r w:rsidR="002B35C9">
              <w:rPr>
                <w:sz w:val="20"/>
              </w:rPr>
              <w:t xml:space="preserve">.  </w:t>
            </w:r>
            <w:r w:rsidR="00293B7C" w:rsidRPr="003E7FFC">
              <w:rPr>
                <w:sz w:val="20"/>
              </w:rPr>
              <w:t>commercial bank or a foreign bank with a U.S</w:t>
            </w:r>
            <w:r w:rsidR="002B35C9">
              <w:rPr>
                <w:sz w:val="20"/>
              </w:rPr>
              <w:t xml:space="preserve">.  </w:t>
            </w:r>
            <w:r w:rsidR="00293B7C" w:rsidRPr="003E7FFC">
              <w:rPr>
                <w:sz w:val="20"/>
              </w:rPr>
              <w:t>branch that</w:t>
            </w:r>
            <w:proofErr w:type="gramStart"/>
            <w:r w:rsidR="00293B7C" w:rsidRPr="003E7FFC">
              <w:rPr>
                <w:sz w:val="20"/>
              </w:rPr>
              <w:t>:  (</w:t>
            </w:r>
            <w:proofErr w:type="gramEnd"/>
            <w:r w:rsidR="00293B7C" w:rsidRPr="003E7FFC">
              <w:rPr>
                <w:sz w:val="20"/>
              </w:rPr>
              <w:t xml:space="preserve">1) is rated by at least two of the following three rating agencies:  </w:t>
            </w:r>
            <w:r w:rsidR="00461FF9">
              <w:rPr>
                <w:sz w:val="20"/>
              </w:rPr>
              <w:t>S&amp;P Global Ratings</w:t>
            </w:r>
            <w:r w:rsidR="00293B7C" w:rsidRPr="003E7FFC">
              <w:rPr>
                <w:sz w:val="20"/>
              </w:rPr>
              <w:t xml:space="preserve"> (</w:t>
            </w:r>
            <w:r w:rsidR="00A34C9E">
              <w:rPr>
                <w:sz w:val="20"/>
              </w:rPr>
              <w:t>“</w:t>
            </w:r>
            <w:r w:rsidR="00293B7C" w:rsidRPr="003E7FFC">
              <w:rPr>
                <w:sz w:val="20"/>
              </w:rPr>
              <w:t>S&amp;P</w:t>
            </w:r>
            <w:r w:rsidR="00A34C9E">
              <w:rPr>
                <w:sz w:val="20"/>
              </w:rPr>
              <w:t>”</w:t>
            </w:r>
            <w:r w:rsidR="00293B7C" w:rsidRPr="003E7FFC">
              <w:rPr>
                <w:sz w:val="20"/>
              </w:rPr>
              <w:t>), Moody</w:t>
            </w:r>
            <w:r w:rsidR="00A34C9E">
              <w:rPr>
                <w:sz w:val="20"/>
              </w:rPr>
              <w:t>’</w:t>
            </w:r>
            <w:r w:rsidR="00293B7C" w:rsidRPr="003E7FFC">
              <w:rPr>
                <w:sz w:val="20"/>
              </w:rPr>
              <w:t>s Investors Service, Inc</w:t>
            </w:r>
            <w:r w:rsidR="002B35C9">
              <w:rPr>
                <w:sz w:val="20"/>
              </w:rPr>
              <w:t xml:space="preserve">.  </w:t>
            </w:r>
            <w:r w:rsidR="00293B7C" w:rsidRPr="003E7FFC">
              <w:rPr>
                <w:sz w:val="20"/>
              </w:rPr>
              <w:t>(</w:t>
            </w:r>
            <w:r w:rsidR="00A34C9E">
              <w:rPr>
                <w:sz w:val="20"/>
              </w:rPr>
              <w:t>“</w:t>
            </w:r>
            <w:r w:rsidR="00293B7C" w:rsidRPr="003E7FFC">
              <w:rPr>
                <w:sz w:val="20"/>
              </w:rPr>
              <w:t>Moody</w:t>
            </w:r>
            <w:r w:rsidR="00A34C9E">
              <w:rPr>
                <w:sz w:val="20"/>
              </w:rPr>
              <w:t>’</w:t>
            </w:r>
            <w:r w:rsidR="00293B7C" w:rsidRPr="003E7FFC">
              <w:rPr>
                <w:sz w:val="20"/>
              </w:rPr>
              <w:t>s</w:t>
            </w:r>
            <w:r w:rsidR="00A34C9E">
              <w:rPr>
                <w:sz w:val="20"/>
              </w:rPr>
              <w:t>”</w:t>
            </w:r>
            <w:r w:rsidR="00293B7C" w:rsidRPr="003E7FFC">
              <w:rPr>
                <w:sz w:val="20"/>
              </w:rPr>
              <w:t>), or Fitch, Inc</w:t>
            </w:r>
            <w:r w:rsidR="002B35C9">
              <w:rPr>
                <w:sz w:val="20"/>
              </w:rPr>
              <w:t xml:space="preserve">.  </w:t>
            </w:r>
            <w:r w:rsidR="00293B7C" w:rsidRPr="003E7FFC">
              <w:rPr>
                <w:sz w:val="20"/>
              </w:rPr>
              <w:t>(</w:t>
            </w:r>
            <w:r w:rsidR="00A34C9E">
              <w:rPr>
                <w:sz w:val="20"/>
              </w:rPr>
              <w:t>“</w:t>
            </w:r>
            <w:r w:rsidR="00293B7C" w:rsidRPr="003E7FFC">
              <w:rPr>
                <w:sz w:val="20"/>
              </w:rPr>
              <w:t>Fitch</w:t>
            </w:r>
            <w:r w:rsidR="00A34C9E">
              <w:rPr>
                <w:sz w:val="20"/>
              </w:rPr>
              <w:t>”</w:t>
            </w:r>
            <w:r w:rsidR="00293B7C" w:rsidRPr="003E7FFC">
              <w:rPr>
                <w:sz w:val="20"/>
              </w:rPr>
              <w:t>); (2)  if rated by S&amp;P, has a credit rating of A or higher from S&amp;P; (3) if rated by Moody</w:t>
            </w:r>
            <w:r w:rsidR="00A34C9E">
              <w:rPr>
                <w:sz w:val="20"/>
              </w:rPr>
              <w:t>’</w:t>
            </w:r>
            <w:r w:rsidR="00293B7C" w:rsidRPr="003E7FFC">
              <w:rPr>
                <w:sz w:val="20"/>
              </w:rPr>
              <w:t>s, has a credit rating of A2 or higher from Moody</w:t>
            </w:r>
            <w:r w:rsidR="00A34C9E">
              <w:rPr>
                <w:sz w:val="20"/>
              </w:rPr>
              <w:t>’</w:t>
            </w:r>
            <w:r w:rsidR="00293B7C" w:rsidRPr="003E7FFC">
              <w:rPr>
                <w:sz w:val="20"/>
              </w:rPr>
              <w:t>s; and (4) if rated by Fitch, has a credit rating of A or higher from Fitch.</w:t>
            </w:r>
            <w:r w:rsidR="00A34C9E">
              <w:rPr>
                <w:sz w:val="20"/>
              </w:rPr>
              <w:t>”</w:t>
            </w:r>
            <w:r w:rsidR="00293B7C" w:rsidRPr="003E7FFC">
              <w:rPr>
                <w:b/>
                <w:bCs/>
                <w:sz w:val="20"/>
              </w:rPr>
              <w:t xml:space="preserve">  </w:t>
            </w:r>
          </w:p>
          <w:permEnd w:id="598278451"/>
          <w:p w:rsidR="007130CD" w:rsidRPr="003E7FFC" w:rsidRDefault="003055D4" w:rsidP="00DC6A71">
            <w:pPr>
              <w:pStyle w:val="Heading1"/>
              <w:numPr>
                <w:ilvl w:val="0"/>
                <w:numId w:val="0"/>
              </w:numPr>
              <w:jc w:val="both"/>
              <w:rPr>
                <w:b w:val="0"/>
                <w:sz w:val="20"/>
              </w:rPr>
            </w:pPr>
            <w:r w:rsidRPr="003E7FFC">
              <w:rPr>
                <w:sz w:val="20"/>
              </w:rPr>
              <w:t>8</w:t>
            </w:r>
            <w:r w:rsidR="002B35C9">
              <w:rPr>
                <w:sz w:val="20"/>
              </w:rPr>
              <w:t xml:space="preserve">.  </w:t>
            </w:r>
            <w:r w:rsidR="007130CD" w:rsidRPr="003E7FFC">
              <w:rPr>
                <w:sz w:val="20"/>
              </w:rPr>
              <w:t>Section 1.50—</w:t>
            </w:r>
            <w:r w:rsidR="0038172D">
              <w:rPr>
                <w:sz w:val="20"/>
              </w:rPr>
              <w:t xml:space="preserve"> </w:t>
            </w:r>
            <w:r w:rsidR="00A34C9E">
              <w:rPr>
                <w:sz w:val="20"/>
              </w:rPr>
              <w:t>“</w:t>
            </w:r>
            <w:r w:rsidR="007130CD" w:rsidRPr="003E7FFC">
              <w:rPr>
                <w:sz w:val="20"/>
              </w:rPr>
              <w:t>Recording</w:t>
            </w:r>
            <w:r w:rsidR="00A34C9E">
              <w:rPr>
                <w:sz w:val="20"/>
              </w:rPr>
              <w:t>”</w:t>
            </w:r>
            <w:r w:rsidR="007130CD" w:rsidRPr="003E7FFC">
              <w:rPr>
                <w:sz w:val="20"/>
              </w:rPr>
              <w:t xml:space="preserve">  </w:t>
            </w:r>
          </w:p>
          <w:p w:rsidR="007130CD" w:rsidRPr="000053FC" w:rsidRDefault="007130CD" w:rsidP="00DC6A71">
            <w:pPr>
              <w:pStyle w:val="Heading1"/>
              <w:numPr>
                <w:ilvl w:val="0"/>
                <w:numId w:val="0"/>
              </w:numPr>
              <w:ind w:left="18"/>
              <w:jc w:val="both"/>
              <w:rPr>
                <w:b w:val="0"/>
                <w:sz w:val="20"/>
              </w:rPr>
            </w:pPr>
            <w:r w:rsidRPr="003E7FFC">
              <w:rPr>
                <w:b w:val="0"/>
                <w:sz w:val="20"/>
              </w:rPr>
              <w:t xml:space="preserve">Delete the reference to </w:t>
            </w:r>
            <w:r w:rsidR="00A34C9E">
              <w:rPr>
                <w:b w:val="0"/>
                <w:sz w:val="20"/>
              </w:rPr>
              <w:t>“</w:t>
            </w:r>
            <w:r w:rsidRPr="003E7FFC">
              <w:rPr>
                <w:b w:val="0"/>
                <w:sz w:val="20"/>
              </w:rPr>
              <w:t>Section 2.4</w:t>
            </w:r>
            <w:r w:rsidR="00A34C9E">
              <w:rPr>
                <w:b w:val="0"/>
                <w:sz w:val="20"/>
              </w:rPr>
              <w:t>”</w:t>
            </w:r>
            <w:r w:rsidRPr="003E7FFC">
              <w:rPr>
                <w:b w:val="0"/>
                <w:sz w:val="20"/>
              </w:rPr>
              <w:t xml:space="preserve"> and replace it with </w:t>
            </w:r>
            <w:r w:rsidR="00A34C9E">
              <w:rPr>
                <w:b w:val="0"/>
                <w:sz w:val="20"/>
              </w:rPr>
              <w:t>“</w:t>
            </w:r>
            <w:r w:rsidRPr="003E7FFC">
              <w:rPr>
                <w:b w:val="0"/>
                <w:sz w:val="20"/>
              </w:rPr>
              <w:t>Section 2.5</w:t>
            </w:r>
            <w:r w:rsidR="00A34C9E">
              <w:rPr>
                <w:b w:val="0"/>
                <w:sz w:val="20"/>
              </w:rPr>
              <w:t>”</w:t>
            </w:r>
            <w:r w:rsidRPr="003E7FFC">
              <w:rPr>
                <w:b w:val="0"/>
                <w:sz w:val="20"/>
              </w:rPr>
              <w:t>.</w:t>
            </w:r>
          </w:p>
          <w:p w:rsidR="007130CD" w:rsidRPr="003E7FFC" w:rsidRDefault="003055D4" w:rsidP="00DC6A71">
            <w:pPr>
              <w:pStyle w:val="BodyText"/>
              <w:spacing w:after="240"/>
              <w:jc w:val="both"/>
              <w:rPr>
                <w:b/>
                <w:sz w:val="20"/>
              </w:rPr>
            </w:pPr>
            <w:r w:rsidRPr="003E7FFC">
              <w:rPr>
                <w:b/>
                <w:sz w:val="20"/>
              </w:rPr>
              <w:t>9</w:t>
            </w:r>
            <w:r w:rsidR="002B35C9">
              <w:rPr>
                <w:b/>
                <w:sz w:val="20"/>
              </w:rPr>
              <w:t xml:space="preserve">.  </w:t>
            </w:r>
            <w:r w:rsidR="007130CD" w:rsidRPr="003E7FFC">
              <w:rPr>
                <w:b/>
                <w:sz w:val="20"/>
              </w:rPr>
              <w:t>Section 1.51</w:t>
            </w:r>
            <w:r w:rsidR="004E0826" w:rsidRPr="003E7FFC">
              <w:rPr>
                <w:sz w:val="20"/>
              </w:rPr>
              <w:t>—</w:t>
            </w:r>
            <w:r w:rsidR="0038172D">
              <w:rPr>
                <w:sz w:val="20"/>
              </w:rPr>
              <w:t xml:space="preserve"> </w:t>
            </w:r>
            <w:r w:rsidR="00A34C9E">
              <w:rPr>
                <w:b/>
                <w:sz w:val="20"/>
              </w:rPr>
              <w:t>“</w:t>
            </w:r>
            <w:r w:rsidR="007130CD" w:rsidRPr="003E7FFC">
              <w:rPr>
                <w:b/>
                <w:sz w:val="20"/>
              </w:rPr>
              <w:t>Replacement Price</w:t>
            </w:r>
            <w:r w:rsidR="00A34C9E">
              <w:rPr>
                <w:b/>
                <w:sz w:val="20"/>
              </w:rPr>
              <w:t>”</w:t>
            </w:r>
          </w:p>
          <w:p w:rsidR="006B200E" w:rsidRPr="000053FC" w:rsidRDefault="007130CD" w:rsidP="00DC6A71">
            <w:pPr>
              <w:pStyle w:val="BlockText"/>
            </w:pPr>
            <w:r w:rsidRPr="003E7FFC">
              <w:t xml:space="preserve">Section 1.51 is amended by </w:t>
            </w:r>
            <w:r w:rsidR="00394E93" w:rsidRPr="003E7FFC">
              <w:t xml:space="preserve">(i) adding the phrase </w:t>
            </w:r>
            <w:r w:rsidR="00A34C9E">
              <w:t>“</w:t>
            </w:r>
            <w:r w:rsidR="00394E93" w:rsidRPr="003E7FFC">
              <w:t>for delivery</w:t>
            </w:r>
            <w:r w:rsidR="00A34C9E">
              <w:t>”</w:t>
            </w:r>
            <w:r w:rsidR="00394E93" w:rsidRPr="003E7FFC">
              <w:t xml:space="preserve"> immediately before the phrase </w:t>
            </w:r>
            <w:r w:rsidR="00A34C9E">
              <w:t>“</w:t>
            </w:r>
            <w:r w:rsidR="00394E93" w:rsidRPr="003E7FFC">
              <w:t>at the Delivery Point</w:t>
            </w:r>
            <w:r w:rsidR="00A34C9E">
              <w:t>”</w:t>
            </w:r>
            <w:r w:rsidR="00394E93" w:rsidRPr="003E7FFC">
              <w:t xml:space="preserve"> in the second line and (ii) </w:t>
            </w:r>
            <w:r w:rsidRPr="003E7FFC">
              <w:t xml:space="preserve">deleting the phrase </w:t>
            </w:r>
            <w:r w:rsidR="00A34C9E">
              <w:t>“</w:t>
            </w:r>
            <w:r w:rsidRPr="003E7FFC">
              <w:t>at Buyer</w:t>
            </w:r>
            <w:r w:rsidR="00A34C9E">
              <w:t>’</w:t>
            </w:r>
            <w:r w:rsidRPr="003E7FFC">
              <w:t>s option</w:t>
            </w:r>
            <w:r w:rsidR="00A34C9E">
              <w:t>”</w:t>
            </w:r>
            <w:r w:rsidRPr="003E7FFC">
              <w:t xml:space="preserve"> from the fifth line and replacing it with the following:  </w:t>
            </w:r>
            <w:r w:rsidR="00A34C9E">
              <w:t>“</w:t>
            </w:r>
            <w:r w:rsidRPr="003E7FFC">
              <w:t>absent a purchase</w:t>
            </w:r>
            <w:r w:rsidR="00A34C9E">
              <w:t>”</w:t>
            </w:r>
            <w:r w:rsidR="002B35C9">
              <w:t xml:space="preserve">.  </w:t>
            </w:r>
          </w:p>
          <w:p w:rsidR="002C6E3D" w:rsidRPr="003E7FFC" w:rsidRDefault="002C6E3D" w:rsidP="00DC6A71">
            <w:pPr>
              <w:pStyle w:val="BodyText"/>
              <w:spacing w:after="240"/>
              <w:jc w:val="both"/>
              <w:rPr>
                <w:b/>
                <w:bCs/>
                <w:sz w:val="20"/>
              </w:rPr>
            </w:pPr>
            <w:r w:rsidRPr="003E7FFC">
              <w:rPr>
                <w:b/>
                <w:bCs/>
                <w:sz w:val="20"/>
              </w:rPr>
              <w:t>1</w:t>
            </w:r>
            <w:r>
              <w:rPr>
                <w:b/>
                <w:bCs/>
                <w:sz w:val="20"/>
              </w:rPr>
              <w:t>0</w:t>
            </w:r>
            <w:r w:rsidR="002B35C9">
              <w:rPr>
                <w:b/>
                <w:bCs/>
                <w:sz w:val="20"/>
              </w:rPr>
              <w:t xml:space="preserve">.  </w:t>
            </w:r>
            <w:r>
              <w:rPr>
                <w:b/>
                <w:bCs/>
                <w:sz w:val="20"/>
              </w:rPr>
              <w:t>Section 1.52</w:t>
            </w:r>
            <w:r w:rsidRPr="003E7FFC">
              <w:rPr>
                <w:b/>
                <w:bCs/>
                <w:sz w:val="20"/>
              </w:rPr>
              <w:t>—</w:t>
            </w:r>
            <w:r w:rsidR="0038172D">
              <w:rPr>
                <w:b/>
                <w:bCs/>
                <w:sz w:val="20"/>
              </w:rPr>
              <w:t xml:space="preserve"> </w:t>
            </w:r>
            <w:r w:rsidR="00A34C9E">
              <w:rPr>
                <w:b/>
                <w:bCs/>
                <w:sz w:val="20"/>
              </w:rPr>
              <w:t>“</w:t>
            </w:r>
            <w:r>
              <w:rPr>
                <w:b/>
                <w:bCs/>
                <w:sz w:val="20"/>
              </w:rPr>
              <w:t>S&amp;P</w:t>
            </w:r>
            <w:r w:rsidR="00A34C9E">
              <w:rPr>
                <w:b/>
                <w:bCs/>
                <w:sz w:val="20"/>
              </w:rPr>
              <w:t>”</w:t>
            </w:r>
          </w:p>
          <w:p w:rsidR="002C6E3D" w:rsidRPr="003E7FFC" w:rsidRDefault="002C6E3D" w:rsidP="00DC6A71">
            <w:pPr>
              <w:pStyle w:val="BodyText"/>
              <w:spacing w:after="240"/>
              <w:ind w:left="18"/>
              <w:jc w:val="both"/>
              <w:rPr>
                <w:sz w:val="20"/>
              </w:rPr>
            </w:pPr>
            <w:r w:rsidRPr="003E7FFC">
              <w:rPr>
                <w:sz w:val="20"/>
              </w:rPr>
              <w:t xml:space="preserve">The definition </w:t>
            </w:r>
            <w:proofErr w:type="gramStart"/>
            <w:r w:rsidRPr="003E7FFC">
              <w:rPr>
                <w:sz w:val="20"/>
              </w:rPr>
              <w:t xml:space="preserve">of  </w:t>
            </w:r>
            <w:r w:rsidR="00A34C9E">
              <w:rPr>
                <w:sz w:val="20"/>
              </w:rPr>
              <w:t>“</w:t>
            </w:r>
            <w:proofErr w:type="gramEnd"/>
            <w:r>
              <w:rPr>
                <w:sz w:val="20"/>
              </w:rPr>
              <w:t>S&amp;P</w:t>
            </w:r>
            <w:r w:rsidR="00A34C9E">
              <w:rPr>
                <w:sz w:val="20"/>
              </w:rPr>
              <w:t>”</w:t>
            </w:r>
            <w:r>
              <w:rPr>
                <w:sz w:val="20"/>
              </w:rPr>
              <w:t xml:space="preserve"> in Section 1.52</w:t>
            </w:r>
            <w:r w:rsidRPr="003E7FFC">
              <w:rPr>
                <w:sz w:val="20"/>
              </w:rPr>
              <w:t xml:space="preserve"> is amended to read, in its entirety, as follows:</w:t>
            </w:r>
          </w:p>
          <w:p w:rsidR="002C6E3D" w:rsidRPr="000053FC" w:rsidRDefault="002C6E3D" w:rsidP="00DC6A71">
            <w:pPr>
              <w:pStyle w:val="BodyText"/>
              <w:spacing w:after="240"/>
              <w:ind w:left="720"/>
              <w:jc w:val="both"/>
              <w:rPr>
                <w:sz w:val="20"/>
              </w:rPr>
            </w:pPr>
            <w:r>
              <w:rPr>
                <w:sz w:val="20"/>
              </w:rPr>
              <w:t>1.52</w:t>
            </w:r>
            <w:r w:rsidRPr="003E7FFC">
              <w:rPr>
                <w:sz w:val="20"/>
              </w:rPr>
              <w:t xml:space="preserve">  </w:t>
            </w:r>
            <w:proofErr w:type="gramStart"/>
            <w:r w:rsidRPr="003E7FFC">
              <w:rPr>
                <w:sz w:val="20"/>
              </w:rPr>
              <w:t xml:space="preserve">   </w:t>
            </w:r>
            <w:r w:rsidR="00A34C9E">
              <w:rPr>
                <w:sz w:val="20"/>
              </w:rPr>
              <w:t>“</w:t>
            </w:r>
            <w:proofErr w:type="gramEnd"/>
            <w:r>
              <w:rPr>
                <w:sz w:val="20"/>
              </w:rPr>
              <w:t>S&amp;P</w:t>
            </w:r>
            <w:r w:rsidR="00A34C9E">
              <w:rPr>
                <w:sz w:val="20"/>
              </w:rPr>
              <w:t>”</w:t>
            </w:r>
            <w:r w:rsidRPr="003E7FFC">
              <w:rPr>
                <w:sz w:val="20"/>
              </w:rPr>
              <w:t xml:space="preserve"> means </w:t>
            </w:r>
            <w:r>
              <w:rPr>
                <w:sz w:val="20"/>
              </w:rPr>
              <w:t>S&amp;P Global Ratings or its successor</w:t>
            </w:r>
            <w:r w:rsidRPr="003E7FFC">
              <w:rPr>
                <w:sz w:val="20"/>
              </w:rPr>
              <w:t>.</w:t>
            </w:r>
          </w:p>
          <w:p w:rsidR="007130CD" w:rsidRPr="003E7FFC" w:rsidRDefault="003055D4" w:rsidP="00DC6A71">
            <w:pPr>
              <w:pStyle w:val="BodyText"/>
              <w:spacing w:after="240"/>
              <w:jc w:val="both"/>
              <w:rPr>
                <w:b/>
                <w:sz w:val="20"/>
              </w:rPr>
            </w:pPr>
            <w:r w:rsidRPr="003E7FFC">
              <w:rPr>
                <w:b/>
                <w:sz w:val="20"/>
              </w:rPr>
              <w:t>1</w:t>
            </w:r>
            <w:r w:rsidR="002C6E3D">
              <w:rPr>
                <w:b/>
                <w:sz w:val="20"/>
              </w:rPr>
              <w:t>1</w:t>
            </w:r>
            <w:r w:rsidR="002B35C9">
              <w:rPr>
                <w:b/>
                <w:sz w:val="20"/>
              </w:rPr>
              <w:t xml:space="preserve">.  </w:t>
            </w:r>
            <w:r w:rsidR="007130CD" w:rsidRPr="003E7FFC">
              <w:rPr>
                <w:b/>
                <w:sz w:val="20"/>
              </w:rPr>
              <w:t>Section 1.53</w:t>
            </w:r>
            <w:r w:rsidR="004E0826" w:rsidRPr="003E7FFC">
              <w:rPr>
                <w:sz w:val="20"/>
              </w:rPr>
              <w:t>—</w:t>
            </w:r>
            <w:r w:rsidR="0038172D">
              <w:rPr>
                <w:sz w:val="20"/>
              </w:rPr>
              <w:t xml:space="preserve"> </w:t>
            </w:r>
            <w:r w:rsidR="00A34C9E">
              <w:rPr>
                <w:b/>
                <w:sz w:val="20"/>
              </w:rPr>
              <w:t>“</w:t>
            </w:r>
            <w:r w:rsidR="007130CD" w:rsidRPr="003E7FFC">
              <w:rPr>
                <w:b/>
                <w:sz w:val="20"/>
              </w:rPr>
              <w:t>Sales Price</w:t>
            </w:r>
            <w:r w:rsidR="00A34C9E">
              <w:rPr>
                <w:b/>
                <w:sz w:val="20"/>
              </w:rPr>
              <w:t>”</w:t>
            </w:r>
          </w:p>
          <w:p w:rsidR="007130CD" w:rsidRPr="00521245" w:rsidRDefault="00394E93" w:rsidP="00DC6A71">
            <w:pPr>
              <w:pStyle w:val="BodyText"/>
              <w:spacing w:after="240"/>
              <w:jc w:val="both"/>
              <w:rPr>
                <w:sz w:val="20"/>
              </w:rPr>
            </w:pPr>
            <w:r w:rsidRPr="003E7FFC">
              <w:rPr>
                <w:sz w:val="20"/>
              </w:rPr>
              <w:t>Section 1.53 is amended by (</w:t>
            </w:r>
            <w:r w:rsidRPr="003E7FFC">
              <w:rPr>
                <w:rStyle w:val="DeltaViewInsertion"/>
                <w:color w:val="auto"/>
                <w:sz w:val="20"/>
                <w:u w:val="none"/>
              </w:rPr>
              <w:t xml:space="preserve">i) deleting the phrase </w:t>
            </w:r>
            <w:r w:rsidR="00A34C9E">
              <w:rPr>
                <w:rStyle w:val="DeltaViewInsertion"/>
                <w:color w:val="auto"/>
                <w:sz w:val="20"/>
                <w:u w:val="none"/>
              </w:rPr>
              <w:t>“</w:t>
            </w:r>
            <w:r w:rsidRPr="003E7FFC">
              <w:rPr>
                <w:rStyle w:val="DeltaViewInsertion"/>
                <w:color w:val="auto"/>
                <w:sz w:val="20"/>
                <w:u w:val="none"/>
              </w:rPr>
              <w:t>at the Delivery Point</w:t>
            </w:r>
            <w:r w:rsidR="00A34C9E">
              <w:rPr>
                <w:rStyle w:val="DeltaViewInsertion"/>
                <w:color w:val="auto"/>
                <w:sz w:val="20"/>
                <w:u w:val="none"/>
              </w:rPr>
              <w:t>”</w:t>
            </w:r>
            <w:r w:rsidRPr="003E7FFC">
              <w:rPr>
                <w:rStyle w:val="DeltaViewInsertion"/>
                <w:color w:val="auto"/>
                <w:sz w:val="20"/>
                <w:u w:val="none"/>
              </w:rPr>
              <w:t xml:space="preserve"> from the second line, and (ii) deleting the phrase</w:t>
            </w:r>
            <w:r w:rsidR="007130CD" w:rsidRPr="003E7FFC">
              <w:rPr>
                <w:sz w:val="20"/>
              </w:rPr>
              <w:t xml:space="preserve"> in line 5 </w:t>
            </w:r>
            <w:r w:rsidR="00A34C9E">
              <w:rPr>
                <w:sz w:val="20"/>
              </w:rPr>
              <w:t>“</w:t>
            </w:r>
            <w:r w:rsidR="007130CD" w:rsidRPr="003E7FFC">
              <w:rPr>
                <w:sz w:val="20"/>
              </w:rPr>
              <w:t>at Seller</w:t>
            </w:r>
            <w:r w:rsidR="00A34C9E">
              <w:rPr>
                <w:sz w:val="20"/>
              </w:rPr>
              <w:t>’</w:t>
            </w:r>
            <w:r w:rsidR="007130CD" w:rsidRPr="003E7FFC">
              <w:rPr>
                <w:sz w:val="20"/>
              </w:rPr>
              <w:t>s option</w:t>
            </w:r>
            <w:r w:rsidR="00A34C9E">
              <w:rPr>
                <w:sz w:val="20"/>
              </w:rPr>
              <w:t>”</w:t>
            </w:r>
            <w:r w:rsidR="007130CD" w:rsidRPr="003E7FFC">
              <w:rPr>
                <w:sz w:val="20"/>
              </w:rPr>
              <w:t xml:space="preserve"> and </w:t>
            </w:r>
            <w:r w:rsidRPr="003E7FFC">
              <w:rPr>
                <w:sz w:val="20"/>
              </w:rPr>
              <w:t xml:space="preserve">replacing </w:t>
            </w:r>
            <w:r w:rsidR="007130CD" w:rsidRPr="003E7FFC">
              <w:rPr>
                <w:sz w:val="20"/>
              </w:rPr>
              <w:t xml:space="preserve">it with </w:t>
            </w:r>
            <w:r w:rsidR="00A34C9E">
              <w:rPr>
                <w:sz w:val="20"/>
              </w:rPr>
              <w:t>“</w:t>
            </w:r>
            <w:r w:rsidR="007130CD" w:rsidRPr="003E7FFC">
              <w:rPr>
                <w:sz w:val="20"/>
              </w:rPr>
              <w:t>absent a sale</w:t>
            </w:r>
            <w:r w:rsidR="00A34C9E">
              <w:rPr>
                <w:sz w:val="20"/>
              </w:rPr>
              <w:t>”</w:t>
            </w:r>
            <w:r w:rsidR="002B35C9">
              <w:rPr>
                <w:sz w:val="20"/>
              </w:rPr>
              <w:t xml:space="preserve">.  </w:t>
            </w:r>
          </w:p>
          <w:p w:rsidR="007130CD" w:rsidRPr="003E7FFC" w:rsidRDefault="007130CD" w:rsidP="00DC6A71">
            <w:pPr>
              <w:pStyle w:val="BodyText"/>
              <w:spacing w:after="240"/>
              <w:jc w:val="both"/>
              <w:rPr>
                <w:b/>
                <w:bCs/>
                <w:sz w:val="20"/>
              </w:rPr>
            </w:pPr>
            <w:r w:rsidRPr="003E7FFC">
              <w:rPr>
                <w:b/>
                <w:bCs/>
                <w:sz w:val="20"/>
              </w:rPr>
              <w:t>1</w:t>
            </w:r>
            <w:r w:rsidR="002C6E3D">
              <w:rPr>
                <w:b/>
                <w:bCs/>
                <w:sz w:val="20"/>
              </w:rPr>
              <w:t>2</w:t>
            </w:r>
            <w:r w:rsidR="002B35C9">
              <w:rPr>
                <w:b/>
                <w:bCs/>
                <w:sz w:val="20"/>
              </w:rPr>
              <w:t xml:space="preserve">.  </w:t>
            </w:r>
            <w:r w:rsidRPr="003E7FFC">
              <w:rPr>
                <w:b/>
                <w:bCs/>
                <w:sz w:val="20"/>
              </w:rPr>
              <w:t>Section 1.60—</w:t>
            </w:r>
            <w:r w:rsidR="0038172D">
              <w:rPr>
                <w:b/>
                <w:bCs/>
                <w:sz w:val="20"/>
              </w:rPr>
              <w:t xml:space="preserve"> </w:t>
            </w:r>
            <w:r w:rsidR="00A34C9E">
              <w:rPr>
                <w:b/>
                <w:bCs/>
                <w:sz w:val="20"/>
              </w:rPr>
              <w:t>“</w:t>
            </w:r>
            <w:r w:rsidRPr="003E7FFC">
              <w:rPr>
                <w:b/>
                <w:bCs/>
                <w:sz w:val="20"/>
              </w:rPr>
              <w:t>Transaction</w:t>
            </w:r>
            <w:r w:rsidR="00A34C9E">
              <w:rPr>
                <w:b/>
                <w:bCs/>
                <w:sz w:val="20"/>
              </w:rPr>
              <w:t>”</w:t>
            </w:r>
          </w:p>
          <w:p w:rsidR="007130CD" w:rsidRPr="003E7FFC" w:rsidRDefault="007130CD" w:rsidP="00DC6A71">
            <w:pPr>
              <w:pStyle w:val="BodyText"/>
              <w:spacing w:after="240"/>
              <w:ind w:left="18"/>
              <w:jc w:val="both"/>
              <w:rPr>
                <w:sz w:val="20"/>
              </w:rPr>
            </w:pPr>
            <w:r w:rsidRPr="003E7FFC">
              <w:rPr>
                <w:sz w:val="20"/>
              </w:rPr>
              <w:t xml:space="preserve">The definition </w:t>
            </w:r>
            <w:proofErr w:type="gramStart"/>
            <w:r w:rsidRPr="003E7FFC">
              <w:rPr>
                <w:sz w:val="20"/>
              </w:rPr>
              <w:t xml:space="preserve">of  </w:t>
            </w:r>
            <w:r w:rsidR="00A34C9E">
              <w:rPr>
                <w:sz w:val="20"/>
              </w:rPr>
              <w:t>“</w:t>
            </w:r>
            <w:proofErr w:type="gramEnd"/>
            <w:r w:rsidRPr="003E7FFC">
              <w:rPr>
                <w:sz w:val="20"/>
              </w:rPr>
              <w:t>Transaction</w:t>
            </w:r>
            <w:r w:rsidR="00A34C9E">
              <w:rPr>
                <w:sz w:val="20"/>
              </w:rPr>
              <w:t>”</w:t>
            </w:r>
            <w:r w:rsidRPr="003E7FFC">
              <w:rPr>
                <w:sz w:val="20"/>
              </w:rPr>
              <w:t xml:space="preserve"> in Section 1.60 is amended to read, in its entirety, as follows:</w:t>
            </w:r>
          </w:p>
          <w:p w:rsidR="007130CD" w:rsidRPr="003E7FFC" w:rsidRDefault="007130CD" w:rsidP="00DC6A71">
            <w:pPr>
              <w:pStyle w:val="BodyText"/>
              <w:spacing w:after="240"/>
              <w:ind w:left="720"/>
              <w:jc w:val="both"/>
              <w:rPr>
                <w:sz w:val="20"/>
              </w:rPr>
            </w:pPr>
            <w:r w:rsidRPr="003E7FFC">
              <w:rPr>
                <w:sz w:val="20"/>
              </w:rPr>
              <w:t xml:space="preserve">1.60  </w:t>
            </w:r>
            <w:proofErr w:type="gramStart"/>
            <w:r w:rsidRPr="003E7FFC">
              <w:rPr>
                <w:sz w:val="20"/>
              </w:rPr>
              <w:t xml:space="preserve">   </w:t>
            </w:r>
            <w:r w:rsidR="00A34C9E">
              <w:rPr>
                <w:sz w:val="20"/>
              </w:rPr>
              <w:t>“</w:t>
            </w:r>
            <w:proofErr w:type="gramEnd"/>
            <w:r w:rsidRPr="003E7FFC">
              <w:rPr>
                <w:sz w:val="20"/>
              </w:rPr>
              <w:t>Transaction</w:t>
            </w:r>
            <w:r w:rsidR="00A34C9E">
              <w:rPr>
                <w:sz w:val="20"/>
              </w:rPr>
              <w:t>”</w:t>
            </w:r>
            <w:r w:rsidRPr="003E7FFC">
              <w:rPr>
                <w:sz w:val="20"/>
              </w:rPr>
              <w:t xml:space="preserve"> means a particular transaction agreed to by the Parties relating to the sale by Party A and the purchase by Party B of a Product pursuant to this Master Agreement.</w:t>
            </w:r>
          </w:p>
          <w:p w:rsidR="007130CD" w:rsidRPr="003E7FFC" w:rsidRDefault="007130CD" w:rsidP="00DC6A71">
            <w:pPr>
              <w:pStyle w:val="BodyText"/>
              <w:spacing w:after="240"/>
              <w:jc w:val="both"/>
              <w:rPr>
                <w:b/>
                <w:bCs/>
                <w:sz w:val="20"/>
              </w:rPr>
            </w:pPr>
            <w:r w:rsidRPr="003E7FFC">
              <w:rPr>
                <w:b/>
                <w:bCs/>
                <w:sz w:val="20"/>
              </w:rPr>
              <w:t>1</w:t>
            </w:r>
            <w:r w:rsidR="002C6E3D">
              <w:rPr>
                <w:b/>
                <w:bCs/>
                <w:sz w:val="20"/>
              </w:rPr>
              <w:t>3</w:t>
            </w:r>
            <w:r w:rsidR="002B35C9">
              <w:rPr>
                <w:b/>
                <w:bCs/>
                <w:sz w:val="20"/>
              </w:rPr>
              <w:t xml:space="preserve">.  </w:t>
            </w:r>
            <w:r w:rsidRPr="003E7FFC">
              <w:rPr>
                <w:b/>
                <w:bCs/>
                <w:sz w:val="20"/>
              </w:rPr>
              <w:t>Section 2.1</w:t>
            </w:r>
            <w:r w:rsidR="004E0826" w:rsidRPr="003E7FFC">
              <w:rPr>
                <w:sz w:val="20"/>
              </w:rPr>
              <w:t>—</w:t>
            </w:r>
            <w:r w:rsidRPr="003E7FFC">
              <w:rPr>
                <w:b/>
                <w:bCs/>
                <w:sz w:val="20"/>
              </w:rPr>
              <w:t>Transactions</w:t>
            </w:r>
          </w:p>
          <w:p w:rsidR="007130CD" w:rsidRPr="00DC6A71" w:rsidRDefault="007130CD" w:rsidP="00DC6A71">
            <w:pPr>
              <w:pStyle w:val="BodyText"/>
              <w:spacing w:after="240"/>
              <w:ind w:left="720"/>
              <w:jc w:val="both"/>
              <w:rPr>
                <w:sz w:val="20"/>
              </w:rPr>
            </w:pPr>
            <w:r w:rsidRPr="003E7FFC">
              <w:rPr>
                <w:sz w:val="20"/>
              </w:rPr>
              <w:t>Section 2.1 is not applicable to this Agreement.</w:t>
            </w:r>
          </w:p>
          <w:p w:rsidR="007130CD" w:rsidRPr="003E7FFC" w:rsidRDefault="00C87B27" w:rsidP="00DC6A71">
            <w:pPr>
              <w:pStyle w:val="BodyText"/>
              <w:spacing w:after="240"/>
              <w:jc w:val="both"/>
              <w:rPr>
                <w:b/>
                <w:bCs/>
                <w:sz w:val="20"/>
              </w:rPr>
            </w:pPr>
            <w:r w:rsidRPr="003E7FFC">
              <w:rPr>
                <w:b/>
                <w:bCs/>
                <w:sz w:val="20"/>
              </w:rPr>
              <w:t>1</w:t>
            </w:r>
            <w:r w:rsidR="002C6E3D">
              <w:rPr>
                <w:b/>
                <w:bCs/>
                <w:sz w:val="20"/>
              </w:rPr>
              <w:t>4</w:t>
            </w:r>
            <w:r w:rsidR="002B35C9">
              <w:rPr>
                <w:b/>
                <w:bCs/>
                <w:sz w:val="20"/>
              </w:rPr>
              <w:t xml:space="preserve">.  </w:t>
            </w:r>
            <w:r w:rsidR="007130CD" w:rsidRPr="003E7FFC">
              <w:rPr>
                <w:b/>
                <w:bCs/>
                <w:sz w:val="20"/>
              </w:rPr>
              <w:t>Section 2.2</w:t>
            </w:r>
            <w:r w:rsidR="004E0826" w:rsidRPr="003E7FFC">
              <w:rPr>
                <w:sz w:val="20"/>
              </w:rPr>
              <w:t>—</w:t>
            </w:r>
            <w:r w:rsidR="007130CD" w:rsidRPr="003E7FFC">
              <w:rPr>
                <w:b/>
                <w:bCs/>
                <w:sz w:val="20"/>
              </w:rPr>
              <w:t>Governing Terms</w:t>
            </w:r>
          </w:p>
          <w:p w:rsidR="00521245" w:rsidRPr="00CD525C" w:rsidRDefault="00650C66" w:rsidP="00DC6A71">
            <w:pPr>
              <w:pStyle w:val="BodyTextFirstIndent"/>
              <w:ind w:firstLine="0"/>
              <w:rPr>
                <w:sz w:val="20"/>
              </w:rPr>
            </w:pPr>
            <w:r w:rsidRPr="003E7FFC">
              <w:rPr>
                <w:sz w:val="20"/>
              </w:rPr>
              <w:t xml:space="preserve">Section 2.2 is amended by deleting the last sentence of the section and replacing it with the following: </w:t>
            </w:r>
            <w:r w:rsidR="00A34C9E">
              <w:rPr>
                <w:sz w:val="20"/>
              </w:rPr>
              <w:t>“</w:t>
            </w:r>
            <w:r w:rsidRPr="003E7FFC">
              <w:rPr>
                <w:sz w:val="20"/>
              </w:rPr>
              <w:t xml:space="preserve">Any inconsistency between any terms of this Master Agreement and any terms of a Transaction or terms of the Collateral Annex, as </w:t>
            </w:r>
            <w:r w:rsidR="00ED1759" w:rsidRPr="003E7FFC">
              <w:rPr>
                <w:sz w:val="20"/>
              </w:rPr>
              <w:t xml:space="preserve">may be </w:t>
            </w:r>
            <w:r w:rsidRPr="003E7FFC">
              <w:rPr>
                <w:sz w:val="20"/>
              </w:rPr>
              <w:t>modified in this Cover Sheet</w:t>
            </w:r>
            <w:r w:rsidR="00ED1759" w:rsidRPr="003E7FFC">
              <w:rPr>
                <w:sz w:val="20"/>
              </w:rPr>
              <w:t>,</w:t>
            </w:r>
            <w:r w:rsidRPr="003E7FFC">
              <w:rPr>
                <w:sz w:val="20"/>
              </w:rPr>
              <w:t xml:space="preserve"> shall be resolved in favor of the terms of such Transaction or such Collateral Annex.</w:t>
            </w:r>
            <w:r w:rsidR="00A34C9E">
              <w:rPr>
                <w:sz w:val="20"/>
              </w:rPr>
              <w:t>”</w:t>
            </w:r>
          </w:p>
          <w:p w:rsidR="007130CD" w:rsidRPr="003E7FFC" w:rsidRDefault="007130CD" w:rsidP="00DC6A71">
            <w:pPr>
              <w:pStyle w:val="BodyText"/>
              <w:spacing w:after="240"/>
              <w:jc w:val="both"/>
              <w:rPr>
                <w:b/>
                <w:bCs/>
                <w:sz w:val="20"/>
              </w:rPr>
            </w:pPr>
            <w:r w:rsidRPr="003E7FFC">
              <w:rPr>
                <w:b/>
                <w:bCs/>
                <w:sz w:val="20"/>
              </w:rPr>
              <w:lastRenderedPageBreak/>
              <w:t>1</w:t>
            </w:r>
            <w:r w:rsidR="002C6E3D">
              <w:rPr>
                <w:b/>
                <w:bCs/>
                <w:sz w:val="20"/>
              </w:rPr>
              <w:t>5</w:t>
            </w:r>
            <w:r w:rsidR="002B35C9">
              <w:rPr>
                <w:b/>
                <w:bCs/>
                <w:sz w:val="20"/>
              </w:rPr>
              <w:t xml:space="preserve">.  </w:t>
            </w:r>
            <w:r w:rsidRPr="003E7FFC">
              <w:rPr>
                <w:b/>
                <w:bCs/>
                <w:sz w:val="20"/>
              </w:rPr>
              <w:t>Section 2.3</w:t>
            </w:r>
            <w:r w:rsidR="004E0826" w:rsidRPr="003E7FFC">
              <w:rPr>
                <w:sz w:val="20"/>
              </w:rPr>
              <w:t>—</w:t>
            </w:r>
            <w:r w:rsidRPr="003E7FFC">
              <w:rPr>
                <w:b/>
                <w:bCs/>
                <w:sz w:val="20"/>
              </w:rPr>
              <w:t>Confirmation</w:t>
            </w:r>
          </w:p>
          <w:p w:rsidR="007130CD" w:rsidRPr="003E7FFC" w:rsidRDefault="007130CD" w:rsidP="00DC6A71">
            <w:pPr>
              <w:pStyle w:val="BodyText"/>
              <w:spacing w:after="240"/>
              <w:jc w:val="both"/>
              <w:rPr>
                <w:sz w:val="20"/>
              </w:rPr>
            </w:pPr>
            <w:r w:rsidRPr="003E7FFC">
              <w:rPr>
                <w:sz w:val="20"/>
              </w:rPr>
              <w:t>Section 2.3 is amended to read, in its entirety, as follows:</w:t>
            </w:r>
          </w:p>
          <w:p w:rsidR="007130CD" w:rsidRPr="003E7FFC" w:rsidRDefault="007130CD" w:rsidP="00DC6A71">
            <w:pPr>
              <w:pStyle w:val="BodyText"/>
              <w:spacing w:after="240"/>
              <w:ind w:left="720"/>
              <w:jc w:val="both"/>
              <w:rPr>
                <w:sz w:val="20"/>
              </w:rPr>
            </w:pPr>
            <w:r w:rsidRPr="003E7FFC">
              <w:rPr>
                <w:sz w:val="20"/>
              </w:rPr>
              <w:t xml:space="preserve">2.3   </w:t>
            </w:r>
            <w:r w:rsidRPr="003E7FFC">
              <w:rPr>
                <w:b/>
                <w:bCs/>
                <w:sz w:val="20"/>
                <w:u w:val="single"/>
              </w:rPr>
              <w:t>Confirmation</w:t>
            </w:r>
            <w:r w:rsidR="002B35C9">
              <w:rPr>
                <w:sz w:val="20"/>
              </w:rPr>
              <w:t xml:space="preserve">.  </w:t>
            </w:r>
            <w:r w:rsidRPr="003E7FFC">
              <w:rPr>
                <w:sz w:val="20"/>
              </w:rPr>
              <w:t>The Parties shall confirm a Transaction by executing a confirmation (</w:t>
            </w:r>
            <w:r w:rsidR="00A34C9E">
              <w:rPr>
                <w:sz w:val="20"/>
              </w:rPr>
              <w:t>“</w:t>
            </w:r>
            <w:r w:rsidRPr="003E7FFC">
              <w:rPr>
                <w:sz w:val="20"/>
              </w:rPr>
              <w:t>Confirmation</w:t>
            </w:r>
            <w:r w:rsidR="00A34C9E">
              <w:rPr>
                <w:sz w:val="20"/>
              </w:rPr>
              <w:t>”</w:t>
            </w:r>
            <w:r w:rsidRPr="003E7FFC">
              <w:rPr>
                <w:sz w:val="20"/>
              </w:rPr>
              <w:t>) substantially in the form of Exhibit A.</w:t>
            </w:r>
          </w:p>
          <w:p w:rsidR="00A742A8" w:rsidRPr="003E7FFC" w:rsidRDefault="00A742A8" w:rsidP="00DC6A71">
            <w:pPr>
              <w:pStyle w:val="BodyText"/>
              <w:spacing w:after="240"/>
              <w:ind w:left="720"/>
              <w:jc w:val="both"/>
              <w:rPr>
                <w:sz w:val="20"/>
              </w:rPr>
            </w:pPr>
            <w:r w:rsidRPr="003E7FFC">
              <w:rPr>
                <w:sz w:val="20"/>
              </w:rPr>
              <w:t xml:space="preserve">The actions and timing required to execute the </w:t>
            </w:r>
            <w:r w:rsidR="00462FC4" w:rsidRPr="003E7FFC">
              <w:rPr>
                <w:sz w:val="20"/>
              </w:rPr>
              <w:t xml:space="preserve">Agreement, including any Confirmations, any Guaranty, if applicable, and any other related documents </w:t>
            </w:r>
            <w:r w:rsidRPr="003E7FFC">
              <w:rPr>
                <w:sz w:val="20"/>
              </w:rPr>
              <w:t>is summarized by the following table:</w:t>
            </w:r>
            <w:r w:rsidR="00630B2F" w:rsidRPr="003E7FFC">
              <w:rPr>
                <w:sz w:val="20"/>
              </w:rPr>
              <w:t xml:space="preserve"> </w:t>
            </w:r>
          </w:p>
          <w:tbl>
            <w:tblPr>
              <w:tblW w:w="6740" w:type="dxa"/>
              <w:tblLayout w:type="fixed"/>
              <w:tblLook w:val="0000" w:firstRow="0" w:lastRow="0" w:firstColumn="0" w:lastColumn="0" w:noHBand="0" w:noVBand="0"/>
            </w:tblPr>
            <w:tblGrid>
              <w:gridCol w:w="1322"/>
              <w:gridCol w:w="1678"/>
              <w:gridCol w:w="3740"/>
            </w:tblGrid>
            <w:tr w:rsidR="00F75471" w:rsidRPr="003E7FFC" w:rsidTr="007B231A">
              <w:trPr>
                <w:trHeight w:val="270"/>
              </w:trPr>
              <w:tc>
                <w:tcPr>
                  <w:tcW w:w="1322" w:type="dxa"/>
                  <w:tcBorders>
                    <w:top w:val="single" w:sz="8" w:space="0" w:color="auto"/>
                    <w:left w:val="single" w:sz="8" w:space="0" w:color="auto"/>
                    <w:bottom w:val="single" w:sz="8" w:space="0" w:color="auto"/>
                    <w:right w:val="single" w:sz="8" w:space="0" w:color="auto"/>
                  </w:tcBorders>
                  <w:shd w:val="clear" w:color="auto" w:fill="auto"/>
                  <w:noWrap/>
                  <w:vAlign w:val="bottom"/>
                </w:tcPr>
                <w:p w:rsidR="00F75471" w:rsidRPr="003E7FFC" w:rsidRDefault="00F75471" w:rsidP="007B231A">
                  <w:pPr>
                    <w:jc w:val="center"/>
                    <w:rPr>
                      <w:rFonts w:ascii="Arial" w:hAnsi="Arial" w:cs="Arial"/>
                      <w:sz w:val="20"/>
                    </w:rPr>
                  </w:pPr>
                  <w:r w:rsidRPr="003E7FFC">
                    <w:rPr>
                      <w:rFonts w:ascii="Arial" w:hAnsi="Arial" w:cs="Arial"/>
                      <w:sz w:val="20"/>
                    </w:rPr>
                    <w:t>Party</w:t>
                  </w:r>
                </w:p>
              </w:tc>
              <w:tc>
                <w:tcPr>
                  <w:tcW w:w="1678" w:type="dxa"/>
                  <w:tcBorders>
                    <w:top w:val="single" w:sz="8" w:space="0" w:color="auto"/>
                    <w:left w:val="nil"/>
                    <w:bottom w:val="single" w:sz="8" w:space="0" w:color="auto"/>
                    <w:right w:val="single" w:sz="8" w:space="0" w:color="auto"/>
                  </w:tcBorders>
                  <w:shd w:val="clear" w:color="auto" w:fill="auto"/>
                  <w:noWrap/>
                  <w:vAlign w:val="bottom"/>
                </w:tcPr>
                <w:p w:rsidR="00F75471" w:rsidRPr="003E7FFC" w:rsidRDefault="00F75471" w:rsidP="007B231A">
                  <w:pPr>
                    <w:jc w:val="center"/>
                    <w:rPr>
                      <w:rFonts w:ascii="Arial" w:hAnsi="Arial" w:cs="Arial"/>
                      <w:sz w:val="20"/>
                    </w:rPr>
                  </w:pPr>
                  <w:r w:rsidRPr="003E7FFC">
                    <w:rPr>
                      <w:rFonts w:ascii="Arial" w:hAnsi="Arial" w:cs="Arial"/>
                      <w:sz w:val="20"/>
                    </w:rPr>
                    <w:t>Timing</w:t>
                  </w:r>
                </w:p>
              </w:tc>
              <w:tc>
                <w:tcPr>
                  <w:tcW w:w="3740" w:type="dxa"/>
                  <w:tcBorders>
                    <w:top w:val="single" w:sz="8" w:space="0" w:color="auto"/>
                    <w:left w:val="nil"/>
                    <w:bottom w:val="single" w:sz="8" w:space="0" w:color="auto"/>
                    <w:right w:val="single" w:sz="8" w:space="0" w:color="auto"/>
                  </w:tcBorders>
                  <w:shd w:val="clear" w:color="auto" w:fill="auto"/>
                  <w:noWrap/>
                  <w:vAlign w:val="bottom"/>
                </w:tcPr>
                <w:p w:rsidR="00F75471" w:rsidRPr="003E7FFC" w:rsidRDefault="00F75471" w:rsidP="007B231A">
                  <w:pPr>
                    <w:jc w:val="center"/>
                    <w:rPr>
                      <w:rFonts w:ascii="Arial" w:hAnsi="Arial" w:cs="Arial"/>
                      <w:sz w:val="20"/>
                    </w:rPr>
                  </w:pPr>
                  <w:r w:rsidRPr="003E7FFC">
                    <w:rPr>
                      <w:rFonts w:ascii="Arial" w:hAnsi="Arial" w:cs="Arial"/>
                      <w:sz w:val="20"/>
                    </w:rPr>
                    <w:t>Action</w:t>
                  </w:r>
                </w:p>
              </w:tc>
            </w:tr>
            <w:tr w:rsidR="00F75471" w:rsidRPr="003E7FFC" w:rsidTr="007B231A">
              <w:trPr>
                <w:trHeight w:val="525"/>
              </w:trPr>
              <w:tc>
                <w:tcPr>
                  <w:tcW w:w="1322" w:type="dxa"/>
                  <w:tcBorders>
                    <w:top w:val="nil"/>
                    <w:left w:val="single" w:sz="8" w:space="0" w:color="auto"/>
                    <w:bottom w:val="single" w:sz="8" w:space="0" w:color="auto"/>
                    <w:right w:val="single" w:sz="8" w:space="0" w:color="auto"/>
                  </w:tcBorders>
                  <w:shd w:val="clear" w:color="auto" w:fill="auto"/>
                  <w:noWrap/>
                  <w:vAlign w:val="center"/>
                </w:tcPr>
                <w:p w:rsidR="00F75471" w:rsidRPr="003E7FFC" w:rsidRDefault="00F75471" w:rsidP="007B231A">
                  <w:pPr>
                    <w:rPr>
                      <w:rFonts w:ascii="Arial" w:hAnsi="Arial" w:cs="Arial"/>
                      <w:sz w:val="20"/>
                    </w:rPr>
                  </w:pPr>
                  <w:r w:rsidRPr="003E7FFC">
                    <w:rPr>
                      <w:rFonts w:ascii="Arial" w:hAnsi="Arial" w:cs="Arial"/>
                      <w:sz w:val="20"/>
                    </w:rPr>
                    <w:t>ICC</w:t>
                  </w:r>
                </w:p>
              </w:tc>
              <w:tc>
                <w:tcPr>
                  <w:tcW w:w="1678" w:type="dxa"/>
                  <w:tcBorders>
                    <w:top w:val="nil"/>
                    <w:left w:val="nil"/>
                    <w:bottom w:val="single" w:sz="8" w:space="0" w:color="auto"/>
                    <w:right w:val="single" w:sz="8" w:space="0" w:color="auto"/>
                  </w:tcBorders>
                  <w:shd w:val="clear" w:color="auto" w:fill="auto"/>
                  <w:noWrap/>
                  <w:vAlign w:val="center"/>
                </w:tcPr>
                <w:p w:rsidR="00F75471" w:rsidRPr="003E7FFC" w:rsidRDefault="00F75471" w:rsidP="007B231A">
                  <w:pPr>
                    <w:rPr>
                      <w:rFonts w:ascii="Arial" w:hAnsi="Arial" w:cs="Arial"/>
                      <w:sz w:val="20"/>
                    </w:rPr>
                  </w:pPr>
                  <w:r w:rsidRPr="003E7FFC">
                    <w:rPr>
                      <w:rFonts w:ascii="Arial" w:hAnsi="Arial" w:cs="Arial"/>
                      <w:sz w:val="20"/>
                    </w:rPr>
                    <w:t>Day 0</w:t>
                  </w:r>
                </w:p>
              </w:tc>
              <w:tc>
                <w:tcPr>
                  <w:tcW w:w="3740" w:type="dxa"/>
                  <w:tcBorders>
                    <w:top w:val="nil"/>
                    <w:left w:val="nil"/>
                    <w:bottom w:val="single" w:sz="8" w:space="0" w:color="auto"/>
                    <w:right w:val="single" w:sz="8" w:space="0" w:color="auto"/>
                  </w:tcBorders>
                  <w:shd w:val="clear" w:color="auto" w:fill="auto"/>
                  <w:vAlign w:val="center"/>
                </w:tcPr>
                <w:p w:rsidR="00F75471" w:rsidRPr="003E7FFC" w:rsidRDefault="00F75471" w:rsidP="007B231A">
                  <w:pPr>
                    <w:rPr>
                      <w:rFonts w:ascii="Arial" w:hAnsi="Arial" w:cs="Arial"/>
                      <w:sz w:val="20"/>
                    </w:rPr>
                  </w:pPr>
                  <w:r w:rsidRPr="003E7FFC">
                    <w:rPr>
                      <w:rFonts w:ascii="Arial" w:hAnsi="Arial" w:cs="Arial"/>
                      <w:sz w:val="20"/>
                    </w:rPr>
                    <w:t>Approves the results and announces that Seller has been selected.</w:t>
                  </w:r>
                </w:p>
              </w:tc>
            </w:tr>
            <w:tr w:rsidR="00F75471" w:rsidRPr="003E7FFC" w:rsidTr="007B231A">
              <w:trPr>
                <w:trHeight w:val="780"/>
              </w:trPr>
              <w:tc>
                <w:tcPr>
                  <w:tcW w:w="1322" w:type="dxa"/>
                  <w:tcBorders>
                    <w:top w:val="single" w:sz="8" w:space="0" w:color="auto"/>
                    <w:left w:val="single" w:sz="8" w:space="0" w:color="auto"/>
                    <w:bottom w:val="single" w:sz="8" w:space="0" w:color="auto"/>
                    <w:right w:val="single" w:sz="8" w:space="0" w:color="auto"/>
                  </w:tcBorders>
                  <w:shd w:val="clear" w:color="auto" w:fill="F3F3F3"/>
                  <w:noWrap/>
                  <w:vAlign w:val="center"/>
                </w:tcPr>
                <w:p w:rsidR="00F75471" w:rsidRPr="003E7FFC" w:rsidRDefault="00F75471" w:rsidP="007B231A">
                  <w:pPr>
                    <w:rPr>
                      <w:rFonts w:ascii="Arial" w:hAnsi="Arial" w:cs="Arial"/>
                      <w:sz w:val="20"/>
                    </w:rPr>
                  </w:pPr>
                  <w:r w:rsidRPr="003E7FFC">
                    <w:rPr>
                      <w:rFonts w:ascii="Arial" w:hAnsi="Arial" w:cs="Arial"/>
                      <w:sz w:val="20"/>
                    </w:rPr>
                    <w:t>Buyer</w:t>
                  </w:r>
                </w:p>
              </w:tc>
              <w:tc>
                <w:tcPr>
                  <w:tcW w:w="1678" w:type="dxa"/>
                  <w:tcBorders>
                    <w:top w:val="single" w:sz="8" w:space="0" w:color="auto"/>
                    <w:left w:val="nil"/>
                    <w:bottom w:val="single" w:sz="8" w:space="0" w:color="auto"/>
                    <w:right w:val="single" w:sz="8" w:space="0" w:color="auto"/>
                  </w:tcBorders>
                  <w:shd w:val="clear" w:color="auto" w:fill="F3F3F3"/>
                  <w:vAlign w:val="center"/>
                </w:tcPr>
                <w:p w:rsidR="00F75471" w:rsidRPr="003E7FFC" w:rsidRDefault="00F75471" w:rsidP="007117EB">
                  <w:pPr>
                    <w:rPr>
                      <w:rFonts w:ascii="Arial" w:hAnsi="Arial" w:cs="Arial"/>
                      <w:sz w:val="20"/>
                    </w:rPr>
                  </w:pPr>
                  <w:r w:rsidRPr="003E7FFC">
                    <w:rPr>
                      <w:rFonts w:ascii="Arial" w:hAnsi="Arial" w:cs="Arial"/>
                      <w:sz w:val="20"/>
                    </w:rPr>
                    <w:t xml:space="preserve">by </w:t>
                  </w:r>
                  <w:r w:rsidR="007117EB" w:rsidRPr="003E7FFC">
                    <w:rPr>
                      <w:rFonts w:ascii="Arial" w:hAnsi="Arial" w:cs="Arial"/>
                      <w:sz w:val="20"/>
                    </w:rPr>
                    <w:t>5</w:t>
                  </w:r>
                  <w:r w:rsidRPr="003E7FFC">
                    <w:rPr>
                      <w:rFonts w:ascii="Arial" w:hAnsi="Arial" w:cs="Arial"/>
                      <w:sz w:val="20"/>
                    </w:rPr>
                    <w:t>:00 PM EPT on the first Business Day following Day 0 (Day A)</w:t>
                  </w:r>
                </w:p>
              </w:tc>
              <w:tc>
                <w:tcPr>
                  <w:tcW w:w="3740" w:type="dxa"/>
                  <w:tcBorders>
                    <w:top w:val="single" w:sz="8" w:space="0" w:color="auto"/>
                    <w:left w:val="nil"/>
                    <w:bottom w:val="single" w:sz="8" w:space="0" w:color="auto"/>
                    <w:right w:val="single" w:sz="8" w:space="0" w:color="auto"/>
                  </w:tcBorders>
                  <w:shd w:val="clear" w:color="auto" w:fill="F3F3F3"/>
                  <w:vAlign w:val="center"/>
                </w:tcPr>
                <w:p w:rsidR="00F75471" w:rsidRPr="003E7FFC" w:rsidRDefault="00F75471" w:rsidP="007B231A">
                  <w:pPr>
                    <w:rPr>
                      <w:rFonts w:ascii="Arial" w:hAnsi="Arial" w:cs="Arial"/>
                      <w:sz w:val="20"/>
                    </w:rPr>
                  </w:pPr>
                  <w:r w:rsidRPr="003E7FFC">
                    <w:rPr>
                      <w:rFonts w:ascii="Arial" w:hAnsi="Arial" w:cs="Arial"/>
                      <w:sz w:val="20"/>
                    </w:rPr>
                    <w:t>Prepares and sends a partially executed electronic copy of the Agreement, including any Confirmations, any Guaranty, if applicable, and any other related documents to the Seller.</w:t>
                  </w:r>
                </w:p>
              </w:tc>
            </w:tr>
            <w:tr w:rsidR="00F75471" w:rsidRPr="003E7FFC" w:rsidTr="007B231A">
              <w:trPr>
                <w:trHeight w:val="1545"/>
              </w:trPr>
              <w:tc>
                <w:tcPr>
                  <w:tcW w:w="1322" w:type="dxa"/>
                  <w:tcBorders>
                    <w:top w:val="nil"/>
                    <w:left w:val="single" w:sz="8" w:space="0" w:color="auto"/>
                    <w:bottom w:val="single" w:sz="8" w:space="0" w:color="auto"/>
                    <w:right w:val="single" w:sz="8" w:space="0" w:color="auto"/>
                  </w:tcBorders>
                  <w:shd w:val="clear" w:color="auto" w:fill="auto"/>
                  <w:vAlign w:val="center"/>
                </w:tcPr>
                <w:p w:rsidR="00F75471" w:rsidRPr="003E7FFC" w:rsidRDefault="00F75471" w:rsidP="007B231A">
                  <w:pPr>
                    <w:rPr>
                      <w:rFonts w:ascii="Arial" w:hAnsi="Arial" w:cs="Arial"/>
                      <w:sz w:val="20"/>
                    </w:rPr>
                  </w:pPr>
                  <w:r w:rsidRPr="003E7FFC">
                    <w:rPr>
                      <w:rFonts w:ascii="Arial" w:hAnsi="Arial" w:cs="Arial"/>
                      <w:sz w:val="20"/>
                    </w:rPr>
                    <w:t>Seller and if applicable, Seller</w:t>
                  </w:r>
                  <w:r w:rsidR="00A34C9E">
                    <w:rPr>
                      <w:rFonts w:ascii="Arial" w:hAnsi="Arial" w:cs="Arial"/>
                      <w:sz w:val="20"/>
                    </w:rPr>
                    <w:t>’</w:t>
                  </w:r>
                  <w:r w:rsidRPr="003E7FFC">
                    <w:rPr>
                      <w:rFonts w:ascii="Arial" w:hAnsi="Arial" w:cs="Arial"/>
                      <w:sz w:val="20"/>
                    </w:rPr>
                    <w:t>s Guarantor</w:t>
                  </w:r>
                </w:p>
              </w:tc>
              <w:tc>
                <w:tcPr>
                  <w:tcW w:w="1678" w:type="dxa"/>
                  <w:tcBorders>
                    <w:top w:val="nil"/>
                    <w:left w:val="nil"/>
                    <w:bottom w:val="single" w:sz="8" w:space="0" w:color="auto"/>
                    <w:right w:val="single" w:sz="8" w:space="0" w:color="auto"/>
                  </w:tcBorders>
                  <w:shd w:val="clear" w:color="auto" w:fill="auto"/>
                  <w:vAlign w:val="center"/>
                </w:tcPr>
                <w:p w:rsidR="00F75471" w:rsidRPr="003E7FFC" w:rsidRDefault="00F75471" w:rsidP="007B231A">
                  <w:pPr>
                    <w:rPr>
                      <w:rFonts w:ascii="Arial" w:hAnsi="Arial" w:cs="Arial"/>
                      <w:sz w:val="20"/>
                    </w:rPr>
                  </w:pPr>
                  <w:r w:rsidRPr="003E7FFC">
                    <w:rPr>
                      <w:rFonts w:ascii="Arial" w:hAnsi="Arial" w:cs="Arial"/>
                      <w:sz w:val="20"/>
                    </w:rPr>
                    <w:t>by 5:00 PM EPT on the second Business Day following Day 0 (Day B)</w:t>
                  </w:r>
                </w:p>
              </w:tc>
              <w:tc>
                <w:tcPr>
                  <w:tcW w:w="3740" w:type="dxa"/>
                  <w:tcBorders>
                    <w:top w:val="nil"/>
                    <w:left w:val="nil"/>
                    <w:bottom w:val="single" w:sz="8" w:space="0" w:color="auto"/>
                    <w:right w:val="single" w:sz="8" w:space="0" w:color="auto"/>
                  </w:tcBorders>
                  <w:shd w:val="clear" w:color="auto" w:fill="auto"/>
                  <w:vAlign w:val="center"/>
                </w:tcPr>
                <w:p w:rsidR="00F75471" w:rsidRPr="003E7FFC" w:rsidRDefault="00F75471" w:rsidP="000A3809">
                  <w:pPr>
                    <w:rPr>
                      <w:rFonts w:ascii="Arial" w:hAnsi="Arial" w:cs="Arial"/>
                      <w:sz w:val="20"/>
                    </w:rPr>
                  </w:pPr>
                  <w:r w:rsidRPr="003E7FFC">
                    <w:rPr>
                      <w:rFonts w:ascii="Arial" w:hAnsi="Arial" w:cs="Arial"/>
                      <w:sz w:val="20"/>
                    </w:rPr>
                    <w:t>Executes the signature pages of the partially executed electronic copy of the Agreement, including any Confirmations, any Guaranty, if applicable, and any other related documents, and sends such fully executed signature pages to Buyer electronically.</w:t>
                  </w:r>
                </w:p>
              </w:tc>
            </w:tr>
          </w:tbl>
          <w:p w:rsidR="007130CD" w:rsidRPr="003E7FFC" w:rsidRDefault="007130CD" w:rsidP="00426331">
            <w:pPr>
              <w:pStyle w:val="BodyText"/>
              <w:spacing w:after="0"/>
              <w:rPr>
                <w:sz w:val="20"/>
              </w:rPr>
            </w:pPr>
          </w:p>
          <w:p w:rsidR="007130CD" w:rsidRPr="003E7FFC" w:rsidRDefault="007130CD" w:rsidP="00DC6A71">
            <w:pPr>
              <w:pStyle w:val="BodyText"/>
              <w:spacing w:after="240"/>
              <w:jc w:val="both"/>
              <w:rPr>
                <w:b/>
                <w:bCs/>
                <w:sz w:val="20"/>
              </w:rPr>
            </w:pPr>
            <w:r w:rsidRPr="003E7FFC">
              <w:rPr>
                <w:b/>
                <w:bCs/>
                <w:sz w:val="20"/>
              </w:rPr>
              <w:t>1</w:t>
            </w:r>
            <w:r w:rsidR="002C6E3D">
              <w:rPr>
                <w:b/>
                <w:bCs/>
                <w:sz w:val="20"/>
              </w:rPr>
              <w:t>6</w:t>
            </w:r>
            <w:r w:rsidR="002B35C9">
              <w:rPr>
                <w:b/>
                <w:bCs/>
                <w:sz w:val="20"/>
              </w:rPr>
              <w:t xml:space="preserve">.  </w:t>
            </w:r>
            <w:r w:rsidRPr="003E7FFC">
              <w:rPr>
                <w:b/>
                <w:bCs/>
                <w:sz w:val="20"/>
              </w:rPr>
              <w:t>Section 2.5</w:t>
            </w:r>
            <w:r w:rsidR="004E0826" w:rsidRPr="003E7FFC">
              <w:rPr>
                <w:sz w:val="20"/>
              </w:rPr>
              <w:t>—</w:t>
            </w:r>
            <w:r w:rsidRPr="003E7FFC">
              <w:rPr>
                <w:b/>
                <w:bCs/>
                <w:sz w:val="20"/>
              </w:rPr>
              <w:t>Recording</w:t>
            </w:r>
          </w:p>
          <w:p w:rsidR="005D6E9A" w:rsidRPr="003E7FFC" w:rsidRDefault="007130CD" w:rsidP="00DC6A71">
            <w:pPr>
              <w:pStyle w:val="BodyText"/>
              <w:spacing w:after="240"/>
              <w:jc w:val="both"/>
              <w:rPr>
                <w:sz w:val="20"/>
              </w:rPr>
            </w:pPr>
            <w:r w:rsidRPr="003E7FFC">
              <w:rPr>
                <w:sz w:val="20"/>
              </w:rPr>
              <w:t>Section 2.5 is not applicable to this Agreement.</w:t>
            </w:r>
          </w:p>
          <w:p w:rsidR="007130CD" w:rsidRPr="003E7FFC" w:rsidRDefault="007130CD" w:rsidP="00DC6A71">
            <w:pPr>
              <w:pStyle w:val="Heading1"/>
              <w:numPr>
                <w:ilvl w:val="0"/>
                <w:numId w:val="0"/>
              </w:numPr>
              <w:jc w:val="both"/>
              <w:rPr>
                <w:sz w:val="20"/>
              </w:rPr>
            </w:pPr>
            <w:r w:rsidRPr="003E7FFC">
              <w:rPr>
                <w:sz w:val="20"/>
              </w:rPr>
              <w:t>1</w:t>
            </w:r>
            <w:r w:rsidR="002C6E3D">
              <w:rPr>
                <w:sz w:val="20"/>
              </w:rPr>
              <w:t>7</w:t>
            </w:r>
            <w:r w:rsidR="002B35C9">
              <w:rPr>
                <w:sz w:val="20"/>
              </w:rPr>
              <w:t xml:space="preserve">.  </w:t>
            </w:r>
            <w:r w:rsidRPr="003E7FFC">
              <w:rPr>
                <w:sz w:val="20"/>
              </w:rPr>
              <w:t xml:space="preserve">Section 5.1—Event of Default  </w:t>
            </w:r>
          </w:p>
          <w:p w:rsidR="007130CD" w:rsidRPr="00DC6A71" w:rsidRDefault="007130CD" w:rsidP="00DC6A71">
            <w:pPr>
              <w:pStyle w:val="Heading1"/>
              <w:numPr>
                <w:ilvl w:val="0"/>
                <w:numId w:val="0"/>
              </w:numPr>
              <w:ind w:left="18"/>
              <w:jc w:val="both"/>
              <w:rPr>
                <w:b w:val="0"/>
                <w:sz w:val="20"/>
              </w:rPr>
            </w:pPr>
            <w:r w:rsidRPr="003E7FFC">
              <w:rPr>
                <w:b w:val="0"/>
                <w:sz w:val="20"/>
              </w:rPr>
              <w:t>Section 5.1(h)(ii) shall be amended by deleting the following phrase from the third and fourth line thereof</w:t>
            </w:r>
            <w:proofErr w:type="gramStart"/>
            <w:r w:rsidRPr="003E7FFC">
              <w:rPr>
                <w:b w:val="0"/>
                <w:sz w:val="20"/>
              </w:rPr>
              <w:t xml:space="preserve">:  </w:t>
            </w:r>
            <w:r w:rsidR="00A34C9E">
              <w:rPr>
                <w:b w:val="0"/>
                <w:sz w:val="20"/>
              </w:rPr>
              <w:t>“</w:t>
            </w:r>
            <w:proofErr w:type="gramEnd"/>
            <w:r w:rsidRPr="003E7FFC">
              <w:rPr>
                <w:b w:val="0"/>
                <w:sz w:val="20"/>
              </w:rPr>
              <w:t>and such failure shall not be remedied within  three (3) Business Days after written notice</w:t>
            </w:r>
            <w:r w:rsidR="00A34C9E">
              <w:rPr>
                <w:b w:val="0"/>
                <w:sz w:val="20"/>
              </w:rPr>
              <w:t>”</w:t>
            </w:r>
            <w:r w:rsidR="002B35C9">
              <w:rPr>
                <w:b w:val="0"/>
                <w:sz w:val="20"/>
              </w:rPr>
              <w:t xml:space="preserve">.  </w:t>
            </w:r>
          </w:p>
          <w:p w:rsidR="007130CD" w:rsidRPr="003E7FFC" w:rsidRDefault="007130CD" w:rsidP="00DC6A71">
            <w:pPr>
              <w:pStyle w:val="Heading1"/>
              <w:numPr>
                <w:ilvl w:val="0"/>
                <w:numId w:val="0"/>
              </w:numPr>
              <w:ind w:left="18"/>
              <w:jc w:val="both"/>
              <w:rPr>
                <w:b w:val="0"/>
                <w:sz w:val="20"/>
              </w:rPr>
            </w:pPr>
            <w:r w:rsidRPr="003E7FFC">
              <w:rPr>
                <w:b w:val="0"/>
                <w:sz w:val="20"/>
              </w:rPr>
              <w:t xml:space="preserve">The following is added to the Agreement as subsection </w:t>
            </w:r>
            <w:r w:rsidR="00B5569E" w:rsidRPr="003E7FFC">
              <w:rPr>
                <w:b w:val="0"/>
                <w:sz w:val="20"/>
              </w:rPr>
              <w:t>5.1</w:t>
            </w:r>
            <w:r w:rsidRPr="003E7FFC">
              <w:rPr>
                <w:b w:val="0"/>
                <w:sz w:val="20"/>
              </w:rPr>
              <w:t>(i)</w:t>
            </w:r>
          </w:p>
          <w:p w:rsidR="007130CD" w:rsidRPr="00DC6A71" w:rsidRDefault="00E17F21" w:rsidP="00DC6A71">
            <w:pPr>
              <w:pStyle w:val="Heading1"/>
              <w:numPr>
                <w:ilvl w:val="0"/>
                <w:numId w:val="0"/>
              </w:numPr>
              <w:ind w:left="953" w:hanging="187"/>
              <w:jc w:val="both"/>
              <w:rPr>
                <w:b w:val="0"/>
                <w:sz w:val="20"/>
              </w:rPr>
            </w:pPr>
            <w:r w:rsidRPr="003E7FFC">
              <w:rPr>
                <w:b w:val="0"/>
                <w:sz w:val="20"/>
              </w:rPr>
              <w:t>(i)  If Seller fails to schedule Product or if Buyer fails to confirm the Seller</w:t>
            </w:r>
            <w:r w:rsidR="00A34C9E">
              <w:rPr>
                <w:b w:val="0"/>
                <w:sz w:val="20"/>
              </w:rPr>
              <w:t>’</w:t>
            </w:r>
            <w:r w:rsidRPr="003E7FFC">
              <w:rPr>
                <w:b w:val="0"/>
                <w:sz w:val="20"/>
              </w:rPr>
              <w:t xml:space="preserve">s submitted schedule, then the other Party will send a written notice to such Party and such Party will be permitted to cure the schedule failure within five (5) </w:t>
            </w:r>
            <w:r w:rsidR="004F52DD" w:rsidRPr="003E7FFC">
              <w:rPr>
                <w:b w:val="0"/>
                <w:sz w:val="20"/>
              </w:rPr>
              <w:t>B</w:t>
            </w:r>
            <w:r w:rsidRPr="003E7FFC">
              <w:rPr>
                <w:b w:val="0"/>
                <w:sz w:val="20"/>
              </w:rPr>
              <w:t xml:space="preserve">usiness </w:t>
            </w:r>
            <w:r w:rsidR="004F52DD" w:rsidRPr="003E7FFC">
              <w:rPr>
                <w:b w:val="0"/>
                <w:sz w:val="20"/>
              </w:rPr>
              <w:t>D</w:t>
            </w:r>
            <w:r w:rsidRPr="003E7FFC">
              <w:rPr>
                <w:b w:val="0"/>
                <w:sz w:val="20"/>
              </w:rPr>
              <w:t>ays of such notice</w:t>
            </w:r>
            <w:r w:rsidR="002B35C9">
              <w:rPr>
                <w:b w:val="0"/>
                <w:sz w:val="20"/>
              </w:rPr>
              <w:t xml:space="preserve">.  </w:t>
            </w:r>
            <w:r w:rsidRPr="003E7FFC">
              <w:rPr>
                <w:b w:val="0"/>
                <w:sz w:val="20"/>
              </w:rPr>
              <w:t>Failure to cure within that time shall be deemed an Event of Default as per Section 5.1 of the Master Agreement</w:t>
            </w:r>
            <w:r w:rsidR="002B35C9">
              <w:rPr>
                <w:b w:val="0"/>
                <w:sz w:val="20"/>
              </w:rPr>
              <w:t xml:space="preserve">.  </w:t>
            </w:r>
            <w:r w:rsidRPr="003E7FFC">
              <w:rPr>
                <w:b w:val="0"/>
                <w:bCs/>
                <w:sz w:val="20"/>
              </w:rPr>
              <w:t xml:space="preserve">In addition, if the Seller incorrectly schedules the </w:t>
            </w:r>
            <w:r w:rsidR="004F52DD" w:rsidRPr="003E7FFC">
              <w:rPr>
                <w:b w:val="0"/>
                <w:bCs/>
                <w:sz w:val="20"/>
              </w:rPr>
              <w:t>T</w:t>
            </w:r>
            <w:r w:rsidRPr="003E7FFC">
              <w:rPr>
                <w:b w:val="0"/>
                <w:bCs/>
                <w:sz w:val="20"/>
              </w:rPr>
              <w:t>ransaction, it shall have five (5) Business Days to correct such error after receiving written notification from the Buyer</w:t>
            </w:r>
            <w:r w:rsidR="002B35C9">
              <w:rPr>
                <w:b w:val="0"/>
                <w:bCs/>
                <w:sz w:val="20"/>
              </w:rPr>
              <w:t xml:space="preserve">.  </w:t>
            </w:r>
            <w:r w:rsidRPr="003E7FFC">
              <w:rPr>
                <w:b w:val="0"/>
                <w:bCs/>
                <w:sz w:val="20"/>
              </w:rPr>
              <w:t xml:space="preserve">The Buyer shall, in turn, have the later of five (5) Business Days after receiving written notification from the Seller that the corrected schedule was </w:t>
            </w:r>
            <w:proofErr w:type="gramStart"/>
            <w:r w:rsidRPr="003E7FFC">
              <w:rPr>
                <w:b w:val="0"/>
                <w:bCs/>
                <w:sz w:val="20"/>
              </w:rPr>
              <w:t>entered</w:t>
            </w:r>
            <w:proofErr w:type="gramEnd"/>
            <w:r w:rsidRPr="003E7FFC">
              <w:rPr>
                <w:b w:val="0"/>
                <w:bCs/>
                <w:sz w:val="20"/>
              </w:rPr>
              <w:t xml:space="preserve"> or the original deadline indicated in the Confirmation(s) to confirm the schedule(s)</w:t>
            </w:r>
            <w:r w:rsidR="002B35C9">
              <w:rPr>
                <w:b w:val="0"/>
                <w:bCs/>
                <w:sz w:val="20"/>
              </w:rPr>
              <w:t xml:space="preserve">.  </w:t>
            </w:r>
          </w:p>
          <w:p w:rsidR="008F7AFE" w:rsidRDefault="008F7AFE" w:rsidP="00DC6A71">
            <w:pPr>
              <w:pStyle w:val="Heading1"/>
              <w:numPr>
                <w:ilvl w:val="0"/>
                <w:numId w:val="0"/>
              </w:numPr>
              <w:ind w:left="18"/>
              <w:jc w:val="both"/>
              <w:rPr>
                <w:sz w:val="20"/>
              </w:rPr>
            </w:pPr>
          </w:p>
          <w:p w:rsidR="007130CD" w:rsidRPr="003E7FFC" w:rsidRDefault="007130CD" w:rsidP="00DC6A71">
            <w:pPr>
              <w:pStyle w:val="Heading1"/>
              <w:numPr>
                <w:ilvl w:val="0"/>
                <w:numId w:val="0"/>
              </w:numPr>
              <w:ind w:left="18"/>
              <w:jc w:val="both"/>
              <w:rPr>
                <w:sz w:val="20"/>
              </w:rPr>
            </w:pPr>
            <w:r w:rsidRPr="003E7FFC">
              <w:rPr>
                <w:sz w:val="20"/>
              </w:rPr>
              <w:t>1</w:t>
            </w:r>
            <w:r w:rsidR="002C6E3D">
              <w:rPr>
                <w:sz w:val="20"/>
              </w:rPr>
              <w:t>8</w:t>
            </w:r>
            <w:r w:rsidR="002B35C9">
              <w:rPr>
                <w:sz w:val="20"/>
              </w:rPr>
              <w:t xml:space="preserve">.  </w:t>
            </w:r>
            <w:r w:rsidRPr="003E7FFC">
              <w:rPr>
                <w:sz w:val="20"/>
              </w:rPr>
              <w:t xml:space="preserve">Section 5.2—Declaration of an Early Termination Date and Calculation of Settlement Amounts  </w:t>
            </w:r>
          </w:p>
          <w:p w:rsidR="00B5569E" w:rsidRPr="003E7FFC" w:rsidRDefault="007130CD" w:rsidP="00DC6A71">
            <w:pPr>
              <w:pStyle w:val="Heading1"/>
              <w:numPr>
                <w:ilvl w:val="0"/>
                <w:numId w:val="0"/>
              </w:numPr>
              <w:ind w:left="18"/>
              <w:jc w:val="both"/>
              <w:rPr>
                <w:b w:val="0"/>
                <w:sz w:val="20"/>
              </w:rPr>
            </w:pPr>
            <w:r w:rsidRPr="003E7FFC">
              <w:rPr>
                <w:b w:val="0"/>
                <w:sz w:val="20"/>
              </w:rPr>
              <w:t xml:space="preserve">Reverse the placement of </w:t>
            </w:r>
            <w:r w:rsidR="00A34C9E">
              <w:rPr>
                <w:b w:val="0"/>
                <w:sz w:val="20"/>
              </w:rPr>
              <w:t>“</w:t>
            </w:r>
            <w:r w:rsidRPr="003E7FFC">
              <w:rPr>
                <w:b w:val="0"/>
                <w:sz w:val="20"/>
              </w:rPr>
              <w:t>(i)</w:t>
            </w:r>
            <w:r w:rsidR="00A34C9E">
              <w:rPr>
                <w:b w:val="0"/>
                <w:sz w:val="20"/>
              </w:rPr>
              <w:t>”</w:t>
            </w:r>
            <w:r w:rsidRPr="003E7FFC">
              <w:rPr>
                <w:b w:val="0"/>
                <w:sz w:val="20"/>
              </w:rPr>
              <w:t xml:space="preserve"> and </w:t>
            </w:r>
            <w:r w:rsidR="00A34C9E">
              <w:rPr>
                <w:b w:val="0"/>
                <w:sz w:val="20"/>
              </w:rPr>
              <w:t>“</w:t>
            </w:r>
            <w:r w:rsidRPr="003E7FFC">
              <w:rPr>
                <w:b w:val="0"/>
                <w:sz w:val="20"/>
              </w:rPr>
              <w:t>to</w:t>
            </w:r>
            <w:r w:rsidR="00A34C9E">
              <w:rPr>
                <w:b w:val="0"/>
                <w:sz w:val="20"/>
              </w:rPr>
              <w:t>”</w:t>
            </w:r>
            <w:r w:rsidR="00BC7192" w:rsidRPr="003E7FFC">
              <w:rPr>
                <w:b w:val="0"/>
                <w:sz w:val="20"/>
              </w:rPr>
              <w:t xml:space="preserve"> and</w:t>
            </w:r>
            <w:r w:rsidR="00B5569E" w:rsidRPr="003E7FFC">
              <w:rPr>
                <w:b w:val="0"/>
                <w:sz w:val="20"/>
              </w:rPr>
              <w:t xml:space="preserve"> at the end of the section</w:t>
            </w:r>
            <w:r w:rsidR="00BC7192" w:rsidRPr="003E7FFC">
              <w:rPr>
                <w:b w:val="0"/>
                <w:sz w:val="20"/>
              </w:rPr>
              <w:t>, add</w:t>
            </w:r>
            <w:r w:rsidR="00B5569E" w:rsidRPr="003E7FFC">
              <w:rPr>
                <w:b w:val="0"/>
                <w:sz w:val="20"/>
              </w:rPr>
              <w:t xml:space="preserve">: </w:t>
            </w:r>
          </w:p>
          <w:p w:rsidR="00521245" w:rsidRPr="00DC6A71" w:rsidRDefault="00A34C9E" w:rsidP="00DC6A71">
            <w:pPr>
              <w:pStyle w:val="Heading1"/>
              <w:numPr>
                <w:ilvl w:val="0"/>
                <w:numId w:val="0"/>
              </w:numPr>
              <w:ind w:left="18"/>
              <w:jc w:val="both"/>
              <w:rPr>
                <w:b w:val="0"/>
                <w:sz w:val="20"/>
              </w:rPr>
            </w:pPr>
            <w:r>
              <w:rPr>
                <w:b w:val="0"/>
                <w:sz w:val="20"/>
              </w:rPr>
              <w:t>“</w:t>
            </w:r>
            <w:r w:rsidR="00BC7192" w:rsidRPr="003E7FFC">
              <w:rPr>
                <w:b w:val="0"/>
                <w:sz w:val="20"/>
              </w:rPr>
              <w:t>The Non-Defaulting Party may determine its Gains and Losses by reference to quotations of relevant rates, prices, yields, yield curves, volatilities, spreads or other relevant market data in the relevant markets</w:t>
            </w:r>
            <w:r w:rsidR="002B35C9">
              <w:rPr>
                <w:b w:val="0"/>
                <w:sz w:val="20"/>
              </w:rPr>
              <w:t xml:space="preserve">.  </w:t>
            </w:r>
            <w:r w:rsidR="00BC7192" w:rsidRPr="003E7FFC">
              <w:rPr>
                <w:b w:val="0"/>
                <w:sz w:val="20"/>
              </w:rPr>
              <w:t>Third parties supplying such information may include, without limitation, dealers in the relevant markets, end-users of the relevant product, information vendors and other sources of market information.</w:t>
            </w:r>
            <w:r>
              <w:rPr>
                <w:b w:val="0"/>
                <w:sz w:val="20"/>
              </w:rPr>
              <w:t>”</w:t>
            </w:r>
          </w:p>
          <w:p w:rsidR="007130CD" w:rsidRPr="003E7FFC" w:rsidRDefault="007130CD" w:rsidP="00DC6A71">
            <w:pPr>
              <w:pStyle w:val="Heading1"/>
              <w:numPr>
                <w:ilvl w:val="0"/>
                <w:numId w:val="0"/>
              </w:numPr>
              <w:ind w:left="18"/>
              <w:jc w:val="both"/>
              <w:rPr>
                <w:sz w:val="20"/>
              </w:rPr>
            </w:pPr>
            <w:r w:rsidRPr="003E7FFC">
              <w:rPr>
                <w:sz w:val="20"/>
              </w:rPr>
              <w:t>1</w:t>
            </w:r>
            <w:r w:rsidR="002C6E3D">
              <w:rPr>
                <w:sz w:val="20"/>
              </w:rPr>
              <w:t>9</w:t>
            </w:r>
            <w:r w:rsidR="002B35C9">
              <w:rPr>
                <w:sz w:val="20"/>
              </w:rPr>
              <w:t xml:space="preserve">.  </w:t>
            </w:r>
            <w:r w:rsidRPr="003E7FFC">
              <w:rPr>
                <w:sz w:val="20"/>
              </w:rPr>
              <w:t xml:space="preserve">Section 5.3—Net Out of Settlement Amounts  </w:t>
            </w:r>
          </w:p>
          <w:p w:rsidR="007130CD" w:rsidRPr="003E7FFC" w:rsidRDefault="007130CD" w:rsidP="00DC6A71">
            <w:pPr>
              <w:pStyle w:val="BodyText"/>
              <w:spacing w:after="240"/>
              <w:jc w:val="both"/>
              <w:rPr>
                <w:sz w:val="20"/>
              </w:rPr>
            </w:pPr>
            <w:r w:rsidRPr="003E7FFC">
              <w:rPr>
                <w:sz w:val="20"/>
              </w:rPr>
              <w:t>Section 5.3 is amended to read, in its entirety, as follows:</w:t>
            </w:r>
          </w:p>
          <w:p w:rsidR="007130CD" w:rsidRPr="003E7FFC" w:rsidRDefault="007130CD" w:rsidP="00DC6A71">
            <w:pPr>
              <w:pStyle w:val="BodyText"/>
              <w:spacing w:after="240"/>
              <w:ind w:left="720"/>
              <w:jc w:val="both"/>
              <w:rPr>
                <w:bCs/>
                <w:sz w:val="20"/>
              </w:rPr>
            </w:pPr>
            <w:r w:rsidRPr="003E7FFC">
              <w:rPr>
                <w:bCs/>
                <w:sz w:val="20"/>
              </w:rPr>
              <w:t>5.3</w:t>
            </w:r>
            <w:r w:rsidRPr="003E7FFC">
              <w:rPr>
                <w:bCs/>
                <w:sz w:val="20"/>
              </w:rPr>
              <w:tab/>
              <w:t>Net Out of Settlement Amounts</w:t>
            </w:r>
            <w:r w:rsidR="002B35C9">
              <w:rPr>
                <w:bCs/>
                <w:sz w:val="20"/>
              </w:rPr>
              <w:t xml:space="preserve">.  </w:t>
            </w:r>
            <w:r w:rsidRPr="003E7FFC">
              <w:rPr>
                <w:bCs/>
                <w:sz w:val="20"/>
              </w:rPr>
              <w:t xml:space="preserve">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at the option of the Non-Defaulting Party, any cash or other form of liquid security then in the possession of the Defaulting Party or its agent pursuant to Article 8, plus any or all other amounts due to the Non-Defaulting Party under this Agreement, so that all such amounts shall be netted out to a single liquidated amount (the </w:t>
            </w:r>
            <w:r w:rsidR="00A34C9E">
              <w:rPr>
                <w:bCs/>
                <w:sz w:val="20"/>
              </w:rPr>
              <w:t>“</w:t>
            </w:r>
            <w:r w:rsidRPr="003E7FFC">
              <w:rPr>
                <w:bCs/>
                <w:sz w:val="20"/>
              </w:rPr>
              <w:t>Termination Payment</w:t>
            </w:r>
            <w:r w:rsidR="00A34C9E">
              <w:rPr>
                <w:bCs/>
                <w:sz w:val="20"/>
              </w:rPr>
              <w:t>”</w:t>
            </w:r>
            <w:r w:rsidRPr="003E7FFC">
              <w:rPr>
                <w:bCs/>
                <w:sz w:val="20"/>
              </w:rPr>
              <w:t>) payable by one Party to the other</w:t>
            </w:r>
            <w:r w:rsidR="002B35C9">
              <w:rPr>
                <w:bCs/>
                <w:sz w:val="20"/>
              </w:rPr>
              <w:t xml:space="preserve">.  </w:t>
            </w:r>
            <w:r w:rsidRPr="003E7FFC">
              <w:rPr>
                <w:bCs/>
                <w:sz w:val="20"/>
              </w:rPr>
              <w:t>The Termination Payment shall be due to or due from the Non-Defaulting Party as appropriate.</w:t>
            </w:r>
          </w:p>
          <w:p w:rsidR="004457DA" w:rsidRPr="003E7FFC" w:rsidRDefault="002C6E3D" w:rsidP="00DC6A71">
            <w:pPr>
              <w:pStyle w:val="Heading1"/>
              <w:numPr>
                <w:ilvl w:val="0"/>
                <w:numId w:val="0"/>
              </w:numPr>
              <w:ind w:left="18"/>
              <w:jc w:val="both"/>
              <w:rPr>
                <w:sz w:val="20"/>
              </w:rPr>
            </w:pPr>
            <w:r>
              <w:rPr>
                <w:sz w:val="20"/>
              </w:rPr>
              <w:t>20</w:t>
            </w:r>
            <w:r w:rsidR="002B35C9">
              <w:rPr>
                <w:sz w:val="20"/>
              </w:rPr>
              <w:t xml:space="preserve">.  </w:t>
            </w:r>
            <w:r w:rsidR="004457DA" w:rsidRPr="003E7FFC">
              <w:rPr>
                <w:sz w:val="20"/>
              </w:rPr>
              <w:t>Section 5.4</w:t>
            </w:r>
            <w:r w:rsidR="004E0826" w:rsidRPr="003E7FFC">
              <w:rPr>
                <w:sz w:val="20"/>
              </w:rPr>
              <w:t>—</w:t>
            </w:r>
            <w:r w:rsidR="004457DA" w:rsidRPr="003E7FFC">
              <w:rPr>
                <w:sz w:val="20"/>
              </w:rPr>
              <w:t>Notice of Payment of Termination Payment</w:t>
            </w:r>
          </w:p>
          <w:p w:rsidR="004457DA" w:rsidRPr="003E7FFC" w:rsidRDefault="004457DA" w:rsidP="00DC6A71">
            <w:pPr>
              <w:spacing w:after="240"/>
              <w:jc w:val="both"/>
              <w:rPr>
                <w:sz w:val="20"/>
              </w:rPr>
            </w:pPr>
            <w:r w:rsidRPr="003E7FFC">
              <w:rPr>
                <w:sz w:val="20"/>
              </w:rPr>
              <w:t xml:space="preserve">Section 5.4 is amended by inserting at the end thereof the following: </w:t>
            </w:r>
          </w:p>
          <w:p w:rsidR="004457DA" w:rsidRPr="00DC6A71" w:rsidRDefault="00A34C9E" w:rsidP="00DC6A71">
            <w:pPr>
              <w:pStyle w:val="Heading1"/>
              <w:numPr>
                <w:ilvl w:val="0"/>
                <w:numId w:val="0"/>
              </w:numPr>
              <w:ind w:left="766"/>
              <w:jc w:val="both"/>
              <w:rPr>
                <w:b w:val="0"/>
                <w:sz w:val="20"/>
              </w:rPr>
            </w:pPr>
            <w:r>
              <w:rPr>
                <w:b w:val="0"/>
                <w:sz w:val="20"/>
              </w:rPr>
              <w:t>“</w:t>
            </w:r>
            <w:r w:rsidR="004457DA" w:rsidRPr="003E7FFC">
              <w:rPr>
                <w:b w:val="0"/>
                <w:sz w:val="20"/>
              </w:rPr>
              <w:t>Notwithstanding anything to the contrary in this Agreement, the Non-Defaulting Party need not pay to the Defaulting Party any amount under Article Five until all other obligations of the Defaulting Party, or its Guarantor, to make any payments to the Non-Defaulting Party under this Agreement which are due and payable as of the Early Termination Date (including any amounts payable pursuant to each Excluded Transaction) have been fully and finally performed.</w:t>
            </w:r>
            <w:r>
              <w:rPr>
                <w:b w:val="0"/>
                <w:sz w:val="20"/>
              </w:rPr>
              <w:t>”</w:t>
            </w:r>
            <w:r w:rsidR="004457DA" w:rsidRPr="003E7FFC">
              <w:rPr>
                <w:b w:val="0"/>
                <w:sz w:val="20"/>
              </w:rPr>
              <w:t xml:space="preserve"> </w:t>
            </w:r>
          </w:p>
          <w:p w:rsidR="007130CD" w:rsidRPr="003E7FFC" w:rsidRDefault="003055D4" w:rsidP="00DC6A71">
            <w:pPr>
              <w:pStyle w:val="Heading1"/>
              <w:numPr>
                <w:ilvl w:val="0"/>
                <w:numId w:val="0"/>
              </w:numPr>
              <w:ind w:left="18"/>
              <w:jc w:val="both"/>
              <w:rPr>
                <w:sz w:val="20"/>
              </w:rPr>
            </w:pPr>
            <w:r w:rsidRPr="003E7FFC">
              <w:rPr>
                <w:sz w:val="20"/>
              </w:rPr>
              <w:t>2</w:t>
            </w:r>
            <w:r w:rsidR="002C6E3D">
              <w:rPr>
                <w:sz w:val="20"/>
              </w:rPr>
              <w:t>1</w:t>
            </w:r>
            <w:r w:rsidR="002B35C9">
              <w:rPr>
                <w:sz w:val="20"/>
              </w:rPr>
              <w:t xml:space="preserve">.  </w:t>
            </w:r>
            <w:r w:rsidR="007130CD" w:rsidRPr="003E7FFC">
              <w:rPr>
                <w:sz w:val="20"/>
              </w:rPr>
              <w:t>Section 5.7</w:t>
            </w:r>
            <w:r w:rsidR="004E0826" w:rsidRPr="003E7FFC">
              <w:rPr>
                <w:sz w:val="20"/>
              </w:rPr>
              <w:t>—</w:t>
            </w:r>
            <w:r w:rsidR="007130CD" w:rsidRPr="003E7FFC">
              <w:rPr>
                <w:sz w:val="20"/>
              </w:rPr>
              <w:t xml:space="preserve">Suspension of Performance  </w:t>
            </w:r>
          </w:p>
          <w:p w:rsidR="00FD31CE" w:rsidRPr="00DC6A71" w:rsidRDefault="007130CD" w:rsidP="00DC6A71">
            <w:pPr>
              <w:pStyle w:val="BodyText"/>
              <w:spacing w:after="240"/>
              <w:jc w:val="both"/>
              <w:rPr>
                <w:bCs/>
                <w:sz w:val="20"/>
              </w:rPr>
            </w:pPr>
            <w:r w:rsidRPr="003E7FFC">
              <w:rPr>
                <w:bCs/>
                <w:sz w:val="20"/>
              </w:rPr>
              <w:t xml:space="preserve">Replace term </w:t>
            </w:r>
            <w:r w:rsidR="00A34C9E">
              <w:rPr>
                <w:bCs/>
                <w:sz w:val="20"/>
              </w:rPr>
              <w:t>“</w:t>
            </w:r>
            <w:r w:rsidRPr="003E7FFC">
              <w:rPr>
                <w:bCs/>
                <w:sz w:val="20"/>
              </w:rPr>
              <w:t>early Termination Date</w:t>
            </w:r>
            <w:r w:rsidR="00A34C9E">
              <w:rPr>
                <w:bCs/>
                <w:sz w:val="20"/>
              </w:rPr>
              <w:t>”</w:t>
            </w:r>
            <w:r w:rsidRPr="003E7FFC">
              <w:rPr>
                <w:bCs/>
                <w:sz w:val="20"/>
              </w:rPr>
              <w:t xml:space="preserve"> with </w:t>
            </w:r>
            <w:r w:rsidR="00A34C9E">
              <w:rPr>
                <w:bCs/>
                <w:sz w:val="20"/>
              </w:rPr>
              <w:t>“</w:t>
            </w:r>
            <w:r w:rsidRPr="003E7FFC">
              <w:rPr>
                <w:bCs/>
                <w:sz w:val="20"/>
              </w:rPr>
              <w:t>Early Termination Date</w:t>
            </w:r>
            <w:r w:rsidR="00A34C9E">
              <w:rPr>
                <w:bCs/>
                <w:sz w:val="20"/>
              </w:rPr>
              <w:t>”</w:t>
            </w:r>
            <w:r w:rsidRPr="003E7FFC">
              <w:rPr>
                <w:bCs/>
                <w:sz w:val="20"/>
              </w:rPr>
              <w:t>.</w:t>
            </w:r>
          </w:p>
          <w:p w:rsidR="007130CD" w:rsidRPr="003E7FFC" w:rsidRDefault="004457DA" w:rsidP="00DC6A71">
            <w:pPr>
              <w:pStyle w:val="BodyText"/>
              <w:spacing w:after="240"/>
              <w:jc w:val="both"/>
              <w:rPr>
                <w:b/>
                <w:sz w:val="20"/>
              </w:rPr>
            </w:pPr>
            <w:r w:rsidRPr="003E7FFC">
              <w:rPr>
                <w:b/>
                <w:sz w:val="20"/>
              </w:rPr>
              <w:t>2</w:t>
            </w:r>
            <w:r w:rsidR="002C6E3D">
              <w:rPr>
                <w:b/>
                <w:sz w:val="20"/>
              </w:rPr>
              <w:t>2</w:t>
            </w:r>
            <w:r w:rsidR="002B35C9">
              <w:rPr>
                <w:b/>
                <w:sz w:val="20"/>
              </w:rPr>
              <w:t xml:space="preserve">.  </w:t>
            </w:r>
            <w:r w:rsidR="007130CD" w:rsidRPr="003E7FFC">
              <w:rPr>
                <w:b/>
                <w:sz w:val="20"/>
              </w:rPr>
              <w:t>Section 6.1</w:t>
            </w:r>
            <w:r w:rsidR="004E0826" w:rsidRPr="003E7FFC">
              <w:rPr>
                <w:sz w:val="20"/>
              </w:rPr>
              <w:t>—</w:t>
            </w:r>
            <w:r w:rsidR="007130CD" w:rsidRPr="003E7FFC">
              <w:rPr>
                <w:b/>
                <w:sz w:val="20"/>
              </w:rPr>
              <w:t>Billing Period</w:t>
            </w:r>
          </w:p>
          <w:p w:rsidR="007130CD" w:rsidRPr="003E7FFC" w:rsidRDefault="007130CD" w:rsidP="00DC6A71">
            <w:pPr>
              <w:pStyle w:val="BodyTextFirstIndent"/>
              <w:ind w:firstLine="0"/>
              <w:rPr>
                <w:sz w:val="20"/>
              </w:rPr>
            </w:pPr>
            <w:r w:rsidRPr="003E7FFC">
              <w:rPr>
                <w:sz w:val="20"/>
              </w:rPr>
              <w:t>Section 6.1 is amended as follows:</w:t>
            </w:r>
          </w:p>
          <w:p w:rsidR="007130CD" w:rsidRPr="003E7FFC" w:rsidRDefault="007130CD" w:rsidP="00DC6A71">
            <w:pPr>
              <w:pStyle w:val="BodyTextFirstIndent"/>
              <w:ind w:firstLine="0"/>
              <w:rPr>
                <w:sz w:val="20"/>
              </w:rPr>
            </w:pPr>
            <w:r w:rsidRPr="003E7FFC">
              <w:rPr>
                <w:sz w:val="20"/>
              </w:rPr>
              <w:tab/>
              <w:t>(a)</w:t>
            </w:r>
            <w:r w:rsidRPr="003E7FFC">
              <w:rPr>
                <w:sz w:val="20"/>
              </w:rPr>
              <w:tab/>
              <w:t xml:space="preserve">The last sentence of the section is revised in its entirety to read </w:t>
            </w:r>
            <w:r w:rsidRPr="003E7FFC">
              <w:rPr>
                <w:sz w:val="20"/>
              </w:rPr>
              <w:lastRenderedPageBreak/>
              <w:t>as follows:</w:t>
            </w:r>
          </w:p>
          <w:p w:rsidR="00426331" w:rsidRDefault="00426331" w:rsidP="00DC6A71">
            <w:pPr>
              <w:pStyle w:val="BodyTextFirstIndent"/>
              <w:ind w:left="1440" w:firstLine="0"/>
              <w:rPr>
                <w:sz w:val="20"/>
              </w:rPr>
            </w:pPr>
          </w:p>
          <w:p w:rsidR="00CD525C" w:rsidRDefault="00A34C9E" w:rsidP="00DC6A71">
            <w:pPr>
              <w:pStyle w:val="BodyTextFirstIndent"/>
              <w:ind w:left="1440" w:firstLine="0"/>
              <w:rPr>
                <w:sz w:val="20"/>
              </w:rPr>
            </w:pPr>
            <w:r>
              <w:rPr>
                <w:sz w:val="20"/>
              </w:rPr>
              <w:t>“</w:t>
            </w:r>
            <w:r w:rsidR="007130CD" w:rsidRPr="003E7FFC">
              <w:rPr>
                <w:sz w:val="20"/>
              </w:rPr>
              <w:t xml:space="preserve">As soon as practicable after the end of each month, Party </w:t>
            </w:r>
            <w:r w:rsidR="00257450" w:rsidRPr="003E7FFC">
              <w:rPr>
                <w:sz w:val="20"/>
              </w:rPr>
              <w:t xml:space="preserve">A </w:t>
            </w:r>
            <w:r w:rsidR="007130CD" w:rsidRPr="003E7FFC">
              <w:rPr>
                <w:sz w:val="20"/>
              </w:rPr>
              <w:t xml:space="preserve">will render to Party </w:t>
            </w:r>
            <w:r w:rsidR="00257450" w:rsidRPr="003E7FFC">
              <w:rPr>
                <w:sz w:val="20"/>
              </w:rPr>
              <w:t xml:space="preserve">B </w:t>
            </w:r>
            <w:r w:rsidR="007130CD" w:rsidRPr="003E7FFC">
              <w:rPr>
                <w:sz w:val="20"/>
              </w:rPr>
              <w:t>an invoice for the payment obligations, if any, incurred hereunder during the preceding month</w:t>
            </w:r>
            <w:r w:rsidR="002B35C9">
              <w:rPr>
                <w:sz w:val="20"/>
              </w:rPr>
              <w:t xml:space="preserve">.  </w:t>
            </w:r>
            <w:r w:rsidR="008C7534" w:rsidRPr="003E7FFC">
              <w:rPr>
                <w:sz w:val="20"/>
              </w:rPr>
              <w:t>The invoice shall clearly state the number of MWh</w:t>
            </w:r>
            <w:r w:rsidR="005B12B4" w:rsidRPr="003E7FFC">
              <w:rPr>
                <w:sz w:val="20"/>
              </w:rPr>
              <w:t>s</w:t>
            </w:r>
            <w:r w:rsidR="008C7534" w:rsidRPr="003E7FFC">
              <w:rPr>
                <w:sz w:val="20"/>
              </w:rPr>
              <w:t xml:space="preserve"> delivered and the total amount due</w:t>
            </w:r>
            <w:r w:rsidR="002B35C9">
              <w:rPr>
                <w:sz w:val="20"/>
              </w:rPr>
              <w:t xml:space="preserve">.  </w:t>
            </w:r>
            <w:r w:rsidR="007130CD" w:rsidRPr="003E7FFC">
              <w:rPr>
                <w:sz w:val="20"/>
              </w:rPr>
              <w:t xml:space="preserve">If Party </w:t>
            </w:r>
            <w:r w:rsidR="00257450" w:rsidRPr="003E7FFC">
              <w:rPr>
                <w:sz w:val="20"/>
              </w:rPr>
              <w:t xml:space="preserve">A </w:t>
            </w:r>
            <w:r w:rsidR="007130CD" w:rsidRPr="003E7FFC">
              <w:rPr>
                <w:sz w:val="20"/>
              </w:rPr>
              <w:t>fails to render such invoice</w:t>
            </w:r>
            <w:r w:rsidR="00A03CFC">
              <w:rPr>
                <w:sz w:val="20"/>
              </w:rPr>
              <w:t xml:space="preserve"> by the 10</w:t>
            </w:r>
            <w:r w:rsidR="00A03CFC" w:rsidRPr="00D631F9">
              <w:rPr>
                <w:sz w:val="20"/>
                <w:vertAlign w:val="superscript"/>
              </w:rPr>
              <w:t>th</w:t>
            </w:r>
            <w:r w:rsidR="00A03CFC">
              <w:rPr>
                <w:sz w:val="20"/>
              </w:rPr>
              <w:t xml:space="preserve"> day of the month following the end of such month (or, if such day is not a Business Day, then on the next Business Day)</w:t>
            </w:r>
            <w:r w:rsidR="007130CD" w:rsidRPr="003E7FFC">
              <w:rPr>
                <w:sz w:val="20"/>
              </w:rPr>
              <w:t xml:space="preserve">, </w:t>
            </w:r>
            <w:r w:rsidR="005133A6" w:rsidRPr="003E7FFC">
              <w:rPr>
                <w:sz w:val="20"/>
              </w:rPr>
              <w:t>no payment will be processed for that month</w:t>
            </w:r>
            <w:r w:rsidR="002B35C9">
              <w:rPr>
                <w:sz w:val="20"/>
              </w:rPr>
              <w:t xml:space="preserve">.  </w:t>
            </w:r>
            <w:r w:rsidR="005133A6" w:rsidRPr="003E7FFC">
              <w:rPr>
                <w:sz w:val="20"/>
              </w:rPr>
              <w:t xml:space="preserve">However, </w:t>
            </w:r>
            <w:r w:rsidR="00257450" w:rsidRPr="003E7FFC">
              <w:rPr>
                <w:sz w:val="20"/>
              </w:rPr>
              <w:t>such amount shall be eligible to be included in the following month</w:t>
            </w:r>
            <w:r>
              <w:rPr>
                <w:sz w:val="20"/>
              </w:rPr>
              <w:t>’</w:t>
            </w:r>
            <w:r w:rsidR="00257450" w:rsidRPr="003E7FFC">
              <w:rPr>
                <w:sz w:val="20"/>
              </w:rPr>
              <w:t>s invoice</w:t>
            </w:r>
            <w:r w:rsidR="00015F84" w:rsidRPr="003E7FFC">
              <w:rPr>
                <w:sz w:val="20"/>
              </w:rPr>
              <w:t xml:space="preserve"> for subsequent payment</w:t>
            </w:r>
            <w:r w:rsidR="007130CD" w:rsidRPr="003E7FFC">
              <w:rPr>
                <w:sz w:val="20"/>
              </w:rPr>
              <w:t>.</w:t>
            </w:r>
            <w:r>
              <w:rPr>
                <w:sz w:val="20"/>
              </w:rPr>
              <w:t>”</w:t>
            </w:r>
          </w:p>
          <w:p w:rsidR="007130CD" w:rsidRPr="003E7FFC" w:rsidRDefault="007130CD" w:rsidP="00DC6A71">
            <w:pPr>
              <w:pStyle w:val="BodyTextFirstIndent"/>
              <w:rPr>
                <w:sz w:val="20"/>
              </w:rPr>
            </w:pPr>
            <w:r w:rsidRPr="003E7FFC">
              <w:rPr>
                <w:sz w:val="20"/>
              </w:rPr>
              <w:t>(b)</w:t>
            </w:r>
            <w:r w:rsidRPr="003E7FFC">
              <w:rPr>
                <w:sz w:val="20"/>
              </w:rPr>
              <w:tab/>
              <w:t xml:space="preserve">Insert at the end of the section, the following: </w:t>
            </w:r>
          </w:p>
          <w:p w:rsidR="007130CD" w:rsidRPr="003E7FFC" w:rsidRDefault="00A34C9E" w:rsidP="00DC6A71">
            <w:pPr>
              <w:pStyle w:val="BodyTextFirstIndent"/>
              <w:ind w:left="1440" w:firstLine="0"/>
              <w:rPr>
                <w:sz w:val="20"/>
              </w:rPr>
            </w:pPr>
            <w:r>
              <w:rPr>
                <w:sz w:val="20"/>
              </w:rPr>
              <w:t>“</w:t>
            </w:r>
            <w:r w:rsidR="007130CD" w:rsidRPr="003E7FFC">
              <w:rPr>
                <w:sz w:val="20"/>
              </w:rPr>
              <w:t xml:space="preserve">During any </w:t>
            </w:r>
            <w:proofErr w:type="gramStart"/>
            <w:r w:rsidR="007130CD" w:rsidRPr="003E7FFC">
              <w:rPr>
                <w:sz w:val="20"/>
              </w:rPr>
              <w:t>period of time</w:t>
            </w:r>
            <w:proofErr w:type="gramEnd"/>
            <w:r w:rsidR="007130CD" w:rsidRPr="003E7FFC">
              <w:rPr>
                <w:sz w:val="20"/>
              </w:rPr>
              <w:t xml:space="preserve"> in which the Credit Rating of Party B falls below the Minimum Rating, the billing period applicable to Party B shall be shortened to be each calendar half-month</w:t>
            </w:r>
            <w:r w:rsidR="002B35C9">
              <w:rPr>
                <w:sz w:val="20"/>
              </w:rPr>
              <w:t xml:space="preserve">.  </w:t>
            </w:r>
            <w:r w:rsidR="007130CD" w:rsidRPr="003E7FFC">
              <w:rPr>
                <w:sz w:val="20"/>
              </w:rPr>
              <w:t xml:space="preserve">Each calendar half-month shall end on the fifteenth calendar day and the last calendar </w:t>
            </w:r>
            <w:r w:rsidR="00F165ED" w:rsidRPr="003E7FFC">
              <w:rPr>
                <w:sz w:val="20"/>
              </w:rPr>
              <w:t xml:space="preserve">day </w:t>
            </w:r>
            <w:r w:rsidR="007130CD" w:rsidRPr="003E7FFC">
              <w:rPr>
                <w:sz w:val="20"/>
              </w:rPr>
              <w:t>of each month</w:t>
            </w:r>
            <w:r w:rsidR="002B35C9">
              <w:rPr>
                <w:sz w:val="20"/>
              </w:rPr>
              <w:t xml:space="preserve">.  </w:t>
            </w:r>
            <w:r w:rsidR="007130CD" w:rsidRPr="003E7FFC">
              <w:rPr>
                <w:sz w:val="20"/>
              </w:rPr>
              <w:t xml:space="preserve">Party </w:t>
            </w:r>
            <w:r w:rsidR="00015F84" w:rsidRPr="003E7FFC">
              <w:rPr>
                <w:sz w:val="20"/>
              </w:rPr>
              <w:t xml:space="preserve">A </w:t>
            </w:r>
            <w:r w:rsidR="007130CD" w:rsidRPr="003E7FFC">
              <w:rPr>
                <w:sz w:val="20"/>
              </w:rPr>
              <w:t xml:space="preserve">shall render an invoice to Party </w:t>
            </w:r>
            <w:r w:rsidR="005133A6" w:rsidRPr="003E7FFC">
              <w:rPr>
                <w:sz w:val="20"/>
              </w:rPr>
              <w:t xml:space="preserve">B </w:t>
            </w:r>
            <w:r w:rsidR="007130CD" w:rsidRPr="003E7FFC">
              <w:rPr>
                <w:sz w:val="20"/>
              </w:rPr>
              <w:t xml:space="preserve">within </w:t>
            </w:r>
            <w:r w:rsidR="003237DC" w:rsidRPr="003E7FFC">
              <w:rPr>
                <w:sz w:val="20"/>
              </w:rPr>
              <w:t xml:space="preserve">five </w:t>
            </w:r>
            <w:r w:rsidR="007130CD" w:rsidRPr="003E7FFC">
              <w:rPr>
                <w:sz w:val="20"/>
              </w:rPr>
              <w:t>(</w:t>
            </w:r>
            <w:r w:rsidR="003237DC" w:rsidRPr="003E7FFC">
              <w:rPr>
                <w:sz w:val="20"/>
              </w:rPr>
              <w:t>5</w:t>
            </w:r>
            <w:r w:rsidR="007130CD" w:rsidRPr="003E7FFC">
              <w:rPr>
                <w:sz w:val="20"/>
              </w:rPr>
              <w:t>) Business Day</w:t>
            </w:r>
            <w:r w:rsidR="003237DC" w:rsidRPr="003E7FFC">
              <w:rPr>
                <w:sz w:val="20"/>
              </w:rPr>
              <w:t>s</w:t>
            </w:r>
            <w:r w:rsidR="007130CD" w:rsidRPr="003E7FFC">
              <w:rPr>
                <w:sz w:val="20"/>
              </w:rPr>
              <w:t xml:space="preserve"> of the end of each half-month</w:t>
            </w:r>
            <w:r w:rsidR="002B35C9">
              <w:rPr>
                <w:sz w:val="20"/>
              </w:rPr>
              <w:t xml:space="preserve">.  </w:t>
            </w:r>
            <w:r w:rsidR="007130CD" w:rsidRPr="003E7FFC">
              <w:rPr>
                <w:sz w:val="20"/>
              </w:rPr>
              <w:t xml:space="preserve">If Party </w:t>
            </w:r>
            <w:r w:rsidR="005133A6" w:rsidRPr="003E7FFC">
              <w:rPr>
                <w:sz w:val="20"/>
              </w:rPr>
              <w:t xml:space="preserve">A </w:t>
            </w:r>
            <w:r w:rsidR="007130CD" w:rsidRPr="003E7FFC">
              <w:rPr>
                <w:sz w:val="20"/>
              </w:rPr>
              <w:t xml:space="preserve">fails to render such invoice within </w:t>
            </w:r>
            <w:r w:rsidR="00015F84" w:rsidRPr="003E7FFC">
              <w:rPr>
                <w:sz w:val="20"/>
              </w:rPr>
              <w:t xml:space="preserve">five </w:t>
            </w:r>
            <w:r w:rsidR="007130CD" w:rsidRPr="003E7FFC">
              <w:rPr>
                <w:sz w:val="20"/>
              </w:rPr>
              <w:t>(</w:t>
            </w:r>
            <w:r w:rsidR="00015F84" w:rsidRPr="003E7FFC">
              <w:rPr>
                <w:sz w:val="20"/>
              </w:rPr>
              <w:t>5</w:t>
            </w:r>
            <w:r w:rsidR="007130CD" w:rsidRPr="003E7FFC">
              <w:rPr>
                <w:sz w:val="20"/>
              </w:rPr>
              <w:t>) Business Day</w:t>
            </w:r>
            <w:r w:rsidR="00015F84" w:rsidRPr="003E7FFC">
              <w:rPr>
                <w:sz w:val="20"/>
              </w:rPr>
              <w:t>s after the end of each half-month</w:t>
            </w:r>
            <w:r w:rsidR="005133A6" w:rsidRPr="003E7FFC">
              <w:rPr>
                <w:sz w:val="20"/>
              </w:rPr>
              <w:t>, no payment will be processed for that half-month period</w:t>
            </w:r>
            <w:r w:rsidR="002B35C9">
              <w:rPr>
                <w:sz w:val="20"/>
              </w:rPr>
              <w:t xml:space="preserve">.  </w:t>
            </w:r>
            <w:r w:rsidR="005133A6" w:rsidRPr="003E7FFC">
              <w:rPr>
                <w:sz w:val="20"/>
              </w:rPr>
              <w:t xml:space="preserve">However, </w:t>
            </w:r>
            <w:r w:rsidR="00015F84" w:rsidRPr="003E7FFC">
              <w:rPr>
                <w:sz w:val="20"/>
              </w:rPr>
              <w:t>such amount shall be eligible to be included in the following half-month</w:t>
            </w:r>
            <w:r>
              <w:rPr>
                <w:sz w:val="20"/>
              </w:rPr>
              <w:t>’</w:t>
            </w:r>
            <w:r w:rsidR="00015F84" w:rsidRPr="003E7FFC">
              <w:rPr>
                <w:sz w:val="20"/>
              </w:rPr>
              <w:t>s invoice for subsequent payment</w:t>
            </w:r>
            <w:r w:rsidR="007130CD" w:rsidRPr="003E7FFC">
              <w:rPr>
                <w:sz w:val="20"/>
              </w:rPr>
              <w:t>.</w:t>
            </w:r>
            <w:r>
              <w:rPr>
                <w:sz w:val="20"/>
              </w:rPr>
              <w:t>”</w:t>
            </w:r>
          </w:p>
          <w:p w:rsidR="007130CD" w:rsidRPr="003E7FFC" w:rsidRDefault="000B0261" w:rsidP="00DC6A71">
            <w:pPr>
              <w:pStyle w:val="BodyTextFirstIndent"/>
              <w:ind w:firstLine="0"/>
              <w:rPr>
                <w:b/>
                <w:bCs/>
                <w:sz w:val="20"/>
              </w:rPr>
            </w:pPr>
            <w:r w:rsidRPr="003E7FFC">
              <w:rPr>
                <w:b/>
                <w:bCs/>
                <w:sz w:val="20"/>
              </w:rPr>
              <w:t>2</w:t>
            </w:r>
            <w:r w:rsidR="002C6E3D">
              <w:rPr>
                <w:b/>
                <w:bCs/>
                <w:sz w:val="20"/>
              </w:rPr>
              <w:t>3</w:t>
            </w:r>
            <w:r w:rsidR="002B35C9">
              <w:rPr>
                <w:b/>
                <w:bCs/>
                <w:sz w:val="20"/>
              </w:rPr>
              <w:t xml:space="preserve">.  </w:t>
            </w:r>
            <w:r w:rsidR="007130CD" w:rsidRPr="003E7FFC">
              <w:rPr>
                <w:b/>
                <w:bCs/>
                <w:sz w:val="20"/>
              </w:rPr>
              <w:t>Section 6.2</w:t>
            </w:r>
            <w:r w:rsidR="004E0826" w:rsidRPr="003E7FFC">
              <w:rPr>
                <w:sz w:val="20"/>
              </w:rPr>
              <w:t>—</w:t>
            </w:r>
            <w:r w:rsidR="007130CD" w:rsidRPr="003E7FFC">
              <w:rPr>
                <w:b/>
                <w:bCs/>
                <w:sz w:val="20"/>
              </w:rPr>
              <w:t>Timeliness of Payment</w:t>
            </w:r>
          </w:p>
          <w:p w:rsidR="007130CD" w:rsidRPr="003E7FFC" w:rsidRDefault="007130CD" w:rsidP="00DC6A71">
            <w:pPr>
              <w:pStyle w:val="BodyTextFirstIndent"/>
              <w:ind w:firstLine="0"/>
              <w:rPr>
                <w:sz w:val="20"/>
              </w:rPr>
            </w:pPr>
            <w:r w:rsidRPr="003E7FFC">
              <w:rPr>
                <w:sz w:val="20"/>
              </w:rPr>
              <w:t xml:space="preserve">Section 6.2 is amended by inserting at the end of the section, the following: </w:t>
            </w:r>
          </w:p>
          <w:p w:rsidR="00A116EF" w:rsidRPr="003E7FFC" w:rsidRDefault="00A34C9E" w:rsidP="00DC6A71">
            <w:pPr>
              <w:pStyle w:val="BodyTextFirstIndent"/>
              <w:ind w:left="1440" w:firstLine="0"/>
              <w:rPr>
                <w:sz w:val="20"/>
              </w:rPr>
            </w:pPr>
            <w:r>
              <w:rPr>
                <w:sz w:val="20"/>
              </w:rPr>
              <w:t>“</w:t>
            </w:r>
            <w:r w:rsidR="007130CD" w:rsidRPr="003E7FFC">
              <w:rPr>
                <w:sz w:val="20"/>
              </w:rPr>
              <w:t xml:space="preserve">If the Credit Rating of Party B falls below the Minimum Rating, and one Party renders an invoice to the other Party on a half-month basis, the invoice shall be due and payable on or before </w:t>
            </w:r>
            <w:r w:rsidR="00107BA3" w:rsidRPr="003E7FFC">
              <w:rPr>
                <w:sz w:val="20"/>
              </w:rPr>
              <w:t xml:space="preserve">the </w:t>
            </w:r>
            <w:r w:rsidR="004B6AF9" w:rsidRPr="003E7FFC">
              <w:rPr>
                <w:sz w:val="20"/>
              </w:rPr>
              <w:t>tenth</w:t>
            </w:r>
            <w:r w:rsidR="00501D78" w:rsidRPr="003E7FFC">
              <w:rPr>
                <w:sz w:val="20"/>
              </w:rPr>
              <w:t xml:space="preserve"> (</w:t>
            </w:r>
            <w:r w:rsidR="004B6AF9" w:rsidRPr="003E7FFC">
              <w:rPr>
                <w:sz w:val="20"/>
              </w:rPr>
              <w:t>10</w:t>
            </w:r>
            <w:r w:rsidR="00107BA3" w:rsidRPr="003E7FFC">
              <w:rPr>
                <w:sz w:val="20"/>
              </w:rPr>
              <w:t>th) day after receipt of the invoice</w:t>
            </w:r>
            <w:r w:rsidR="00107BA3" w:rsidRPr="003E7FFC">
              <w:t xml:space="preserve"> </w:t>
            </w:r>
            <w:r w:rsidR="00107BA3" w:rsidRPr="003E7FFC">
              <w:rPr>
                <w:sz w:val="20"/>
              </w:rPr>
              <w:t>or, if such day is not a Business Day, then on the next Business Day.</w:t>
            </w:r>
            <w:r>
              <w:rPr>
                <w:sz w:val="20"/>
              </w:rPr>
              <w:t>”</w:t>
            </w:r>
            <w:r w:rsidR="00107BA3" w:rsidRPr="003E7FFC">
              <w:rPr>
                <w:sz w:val="20"/>
              </w:rPr>
              <w:t xml:space="preserve"> </w:t>
            </w:r>
          </w:p>
          <w:p w:rsidR="007130CD" w:rsidRPr="003E7FFC" w:rsidRDefault="000B0261" w:rsidP="00DC6A71">
            <w:pPr>
              <w:pStyle w:val="BodyText"/>
              <w:spacing w:after="240"/>
              <w:jc w:val="both"/>
              <w:rPr>
                <w:b/>
                <w:sz w:val="20"/>
              </w:rPr>
            </w:pPr>
            <w:r w:rsidRPr="003E7FFC">
              <w:rPr>
                <w:b/>
                <w:sz w:val="20"/>
              </w:rPr>
              <w:t>2</w:t>
            </w:r>
            <w:r w:rsidR="002C6E3D">
              <w:rPr>
                <w:b/>
                <w:sz w:val="20"/>
              </w:rPr>
              <w:t>4</w:t>
            </w:r>
            <w:r w:rsidR="002B35C9">
              <w:rPr>
                <w:b/>
                <w:sz w:val="20"/>
              </w:rPr>
              <w:t xml:space="preserve">.  </w:t>
            </w:r>
            <w:r w:rsidR="007130CD" w:rsidRPr="003E7FFC">
              <w:rPr>
                <w:b/>
                <w:sz w:val="20"/>
              </w:rPr>
              <w:t>Section 8.2</w:t>
            </w:r>
            <w:r w:rsidR="004E0826" w:rsidRPr="003E7FFC">
              <w:rPr>
                <w:sz w:val="20"/>
              </w:rPr>
              <w:t>—</w:t>
            </w:r>
            <w:r w:rsidR="007130CD" w:rsidRPr="003E7FFC">
              <w:rPr>
                <w:b/>
                <w:sz w:val="20"/>
              </w:rPr>
              <w:t>Party B Credit Protection</w:t>
            </w:r>
          </w:p>
          <w:p w:rsidR="007130CD" w:rsidRPr="003E7FFC" w:rsidRDefault="007130CD" w:rsidP="00DC6A71">
            <w:pPr>
              <w:pStyle w:val="BodyText"/>
              <w:spacing w:after="240"/>
              <w:jc w:val="both"/>
              <w:rPr>
                <w:bCs/>
                <w:sz w:val="20"/>
              </w:rPr>
            </w:pPr>
            <w:r w:rsidRPr="003E7FFC">
              <w:rPr>
                <w:bCs/>
                <w:sz w:val="20"/>
              </w:rPr>
              <w:t>Subsection (e) is amended to read, in its entirety, as follows:</w:t>
            </w:r>
          </w:p>
          <w:p w:rsidR="00AA5C1E" w:rsidRPr="003E7FFC" w:rsidRDefault="007130CD" w:rsidP="00DC6A71">
            <w:pPr>
              <w:pStyle w:val="BodyText"/>
              <w:spacing w:after="240"/>
              <w:ind w:left="720"/>
              <w:jc w:val="both"/>
              <w:rPr>
                <w:bCs/>
                <w:sz w:val="20"/>
              </w:rPr>
            </w:pPr>
            <w:r w:rsidRPr="003E7FFC">
              <w:rPr>
                <w:bCs/>
                <w:sz w:val="20"/>
              </w:rPr>
              <w:t>(e)  If specified on the Cover Sheet, Party A shall deliver to Party B, prior to or concurrently with the execution and delivery of this Master Agreement a Guaranty substantially in the form set forth in Schedule 2 to the Collateral Annex.</w:t>
            </w:r>
          </w:p>
          <w:p w:rsidR="00F85DC5" w:rsidRPr="003E7FFC" w:rsidRDefault="00F85DC5" w:rsidP="00DC6A71">
            <w:pPr>
              <w:pStyle w:val="BodyText"/>
              <w:spacing w:after="240"/>
              <w:jc w:val="both"/>
              <w:rPr>
                <w:b/>
                <w:sz w:val="20"/>
              </w:rPr>
            </w:pPr>
            <w:r w:rsidRPr="003E7FFC">
              <w:rPr>
                <w:b/>
                <w:sz w:val="20"/>
              </w:rPr>
              <w:t>2</w:t>
            </w:r>
            <w:r w:rsidR="002C6E3D">
              <w:rPr>
                <w:b/>
                <w:sz w:val="20"/>
              </w:rPr>
              <w:t>5</w:t>
            </w:r>
            <w:r w:rsidR="002B35C9">
              <w:rPr>
                <w:b/>
                <w:sz w:val="20"/>
              </w:rPr>
              <w:t xml:space="preserve">.  </w:t>
            </w:r>
            <w:r w:rsidRPr="003E7FFC">
              <w:rPr>
                <w:b/>
                <w:sz w:val="20"/>
              </w:rPr>
              <w:t>Section 9.2</w:t>
            </w:r>
            <w:r w:rsidR="004E0826" w:rsidRPr="003E7FFC">
              <w:rPr>
                <w:sz w:val="20"/>
              </w:rPr>
              <w:t>—</w:t>
            </w:r>
            <w:r w:rsidRPr="003E7FFC">
              <w:rPr>
                <w:b/>
                <w:sz w:val="20"/>
              </w:rPr>
              <w:t>Governmental Charges</w:t>
            </w:r>
          </w:p>
          <w:p w:rsidR="00341768" w:rsidRPr="003E7FFC" w:rsidRDefault="00341768" w:rsidP="00DC6A71">
            <w:pPr>
              <w:spacing w:after="240"/>
              <w:jc w:val="both"/>
              <w:rPr>
                <w:sz w:val="20"/>
              </w:rPr>
            </w:pPr>
            <w:r w:rsidRPr="003E7FFC">
              <w:rPr>
                <w:sz w:val="20"/>
              </w:rPr>
              <w:t>Section 9.2 shall be amended by adding the following as a new last sentence:</w:t>
            </w:r>
          </w:p>
          <w:p w:rsidR="00C22767" w:rsidRPr="00DC6A71" w:rsidRDefault="00A34C9E" w:rsidP="00DC6A71">
            <w:pPr>
              <w:spacing w:after="240"/>
              <w:ind w:left="720"/>
              <w:jc w:val="both"/>
              <w:rPr>
                <w:sz w:val="20"/>
              </w:rPr>
            </w:pPr>
            <w:r>
              <w:rPr>
                <w:sz w:val="20"/>
              </w:rPr>
              <w:t>“</w:t>
            </w:r>
            <w:r w:rsidR="00341768" w:rsidRPr="003E7FFC">
              <w:rPr>
                <w:sz w:val="20"/>
              </w:rPr>
              <w:t>Either party, upon written request of the other, shall provide a certificate of exemption or other reasonable satisfactory evidence of exemption if either party is exempt from such Governmental Charges.</w:t>
            </w:r>
          </w:p>
          <w:p w:rsidR="007130CD" w:rsidRPr="003E7FFC" w:rsidRDefault="000B0261" w:rsidP="00DC6A71">
            <w:pPr>
              <w:pStyle w:val="BodyText"/>
              <w:spacing w:after="240"/>
              <w:jc w:val="both"/>
              <w:rPr>
                <w:sz w:val="20"/>
              </w:rPr>
            </w:pPr>
            <w:r w:rsidRPr="003E7FFC">
              <w:rPr>
                <w:b/>
                <w:bCs/>
                <w:sz w:val="20"/>
              </w:rPr>
              <w:lastRenderedPageBreak/>
              <w:t>2</w:t>
            </w:r>
            <w:r w:rsidR="002C6E3D">
              <w:rPr>
                <w:b/>
                <w:bCs/>
                <w:sz w:val="20"/>
              </w:rPr>
              <w:t>6</w:t>
            </w:r>
            <w:r w:rsidR="002B35C9">
              <w:rPr>
                <w:b/>
                <w:bCs/>
                <w:sz w:val="20"/>
              </w:rPr>
              <w:t xml:space="preserve">.  </w:t>
            </w:r>
            <w:r w:rsidRPr="003E7FFC">
              <w:rPr>
                <w:b/>
                <w:bCs/>
                <w:sz w:val="20"/>
              </w:rPr>
              <w:t>Section 10.2</w:t>
            </w:r>
            <w:r w:rsidR="004E0826" w:rsidRPr="003E7FFC">
              <w:rPr>
                <w:sz w:val="20"/>
              </w:rPr>
              <w:t>—</w:t>
            </w:r>
            <w:r w:rsidRPr="003E7FFC">
              <w:rPr>
                <w:b/>
                <w:bCs/>
                <w:sz w:val="20"/>
              </w:rPr>
              <w:t>Representations and Warranties</w:t>
            </w:r>
          </w:p>
          <w:p w:rsidR="00AA5C1E" w:rsidRPr="003E7FFC" w:rsidRDefault="0015014E" w:rsidP="00DC6A71">
            <w:pPr>
              <w:spacing w:after="240"/>
              <w:jc w:val="both"/>
              <w:rPr>
                <w:sz w:val="20"/>
              </w:rPr>
            </w:pPr>
            <w:r w:rsidRPr="003E7FFC">
              <w:rPr>
                <w:sz w:val="20"/>
              </w:rPr>
              <w:t xml:space="preserve">The second line in the first paragraph of </w:t>
            </w:r>
            <w:r w:rsidR="00B11C70" w:rsidRPr="003E7FFC">
              <w:rPr>
                <w:sz w:val="20"/>
              </w:rPr>
              <w:t xml:space="preserve">Section 10.2 shall be amended by </w:t>
            </w:r>
            <w:r w:rsidRPr="003E7FFC">
              <w:rPr>
                <w:sz w:val="20"/>
              </w:rPr>
              <w:t>inserting the</w:t>
            </w:r>
            <w:r w:rsidR="00B11C70" w:rsidRPr="003E7FFC">
              <w:rPr>
                <w:sz w:val="20"/>
              </w:rPr>
              <w:t xml:space="preserve"> phrase</w:t>
            </w:r>
            <w:r w:rsidRPr="003E7FFC">
              <w:rPr>
                <w:sz w:val="20"/>
              </w:rPr>
              <w:t xml:space="preserve">, </w:t>
            </w:r>
            <w:r w:rsidR="00A34C9E">
              <w:rPr>
                <w:sz w:val="20"/>
              </w:rPr>
              <w:t>“</w:t>
            </w:r>
            <w:r w:rsidR="003055D4" w:rsidRPr="003E7FFC">
              <w:rPr>
                <w:sz w:val="20"/>
              </w:rPr>
              <w:t xml:space="preserve">and </w:t>
            </w:r>
            <w:r w:rsidRPr="003E7FFC">
              <w:rPr>
                <w:sz w:val="20"/>
              </w:rPr>
              <w:t>continuous</w:t>
            </w:r>
            <w:r w:rsidR="003055D4" w:rsidRPr="003E7FFC">
              <w:rPr>
                <w:sz w:val="20"/>
              </w:rPr>
              <w:t>ly</w:t>
            </w:r>
            <w:r w:rsidRPr="003E7FFC">
              <w:rPr>
                <w:sz w:val="20"/>
              </w:rPr>
              <w:t xml:space="preserve"> throughout the term of the agreement,</w:t>
            </w:r>
            <w:r w:rsidR="00A34C9E">
              <w:rPr>
                <w:sz w:val="20"/>
              </w:rPr>
              <w:t>”</w:t>
            </w:r>
            <w:r w:rsidRPr="003E7FFC">
              <w:rPr>
                <w:sz w:val="20"/>
              </w:rPr>
              <w:t xml:space="preserve"> after the word </w:t>
            </w:r>
            <w:r w:rsidR="00A34C9E">
              <w:rPr>
                <w:sz w:val="20"/>
              </w:rPr>
              <w:t>“</w:t>
            </w:r>
            <w:r w:rsidRPr="003E7FFC">
              <w:rPr>
                <w:sz w:val="20"/>
              </w:rPr>
              <w:t>Transaction</w:t>
            </w:r>
            <w:r w:rsidR="00A34C9E">
              <w:rPr>
                <w:sz w:val="20"/>
              </w:rPr>
              <w:t>”</w:t>
            </w:r>
            <w:r w:rsidR="00693AC5" w:rsidRPr="003E7FFC">
              <w:rPr>
                <w:sz w:val="20"/>
              </w:rPr>
              <w:t>.</w:t>
            </w:r>
          </w:p>
          <w:p w:rsidR="00C64D15" w:rsidRPr="003E7FFC" w:rsidRDefault="000B0261" w:rsidP="00DC6A71">
            <w:pPr>
              <w:spacing w:after="240"/>
              <w:jc w:val="both"/>
              <w:rPr>
                <w:sz w:val="20"/>
              </w:rPr>
            </w:pPr>
            <w:r w:rsidRPr="003E7FFC">
              <w:rPr>
                <w:sz w:val="20"/>
              </w:rPr>
              <w:t xml:space="preserve">Section 10.2(viii) shall be amended by adding at the end thereof:  </w:t>
            </w:r>
          </w:p>
          <w:p w:rsidR="00C64D15" w:rsidRPr="003E7FFC" w:rsidRDefault="00A34C9E" w:rsidP="00DC6A71">
            <w:pPr>
              <w:pStyle w:val="BodyText"/>
              <w:spacing w:after="240"/>
              <w:ind w:left="766"/>
              <w:jc w:val="both"/>
              <w:rPr>
                <w:sz w:val="20"/>
              </w:rPr>
            </w:pPr>
            <w:r>
              <w:rPr>
                <w:sz w:val="20"/>
              </w:rPr>
              <w:t>“</w:t>
            </w:r>
            <w:r w:rsidR="000B0261" w:rsidRPr="003E7FFC">
              <w:rPr>
                <w:sz w:val="20"/>
              </w:rPr>
              <w:t>; it is understood that information and explanations of the terms and conditions of each such Transaction shall not be considered investment or trading advice or a recommendation to enter into that Transaction; no communication (written or oral) received from the other Party shall be deemed to be an assurance or guarantee as to the expected results of that Transaction; and the other Party is not acting as a fiduciary for or an adviser to it in respect of that Transaction;</w:t>
            </w:r>
            <w:r>
              <w:rPr>
                <w:sz w:val="20"/>
              </w:rPr>
              <w:t>”</w:t>
            </w:r>
            <w:r w:rsidR="00C64D15" w:rsidRPr="003E7FFC">
              <w:rPr>
                <w:sz w:val="20"/>
              </w:rPr>
              <w:t xml:space="preserve"> </w:t>
            </w:r>
          </w:p>
          <w:p w:rsidR="00C64D15" w:rsidRPr="003E7FFC" w:rsidRDefault="00C64D15" w:rsidP="00DC6A71">
            <w:pPr>
              <w:pStyle w:val="BodyText"/>
              <w:spacing w:after="240"/>
              <w:ind w:left="18"/>
              <w:jc w:val="both"/>
              <w:rPr>
                <w:bCs/>
                <w:sz w:val="20"/>
              </w:rPr>
            </w:pPr>
            <w:r w:rsidRPr="003E7FFC">
              <w:rPr>
                <w:bCs/>
                <w:sz w:val="20"/>
              </w:rPr>
              <w:t>Section 10.2 is amended by adding the following as a new subsection (xiii):</w:t>
            </w:r>
          </w:p>
          <w:p w:rsidR="00F85DC5" w:rsidRPr="00DC6A71" w:rsidRDefault="00C64D15" w:rsidP="00DC6A71">
            <w:pPr>
              <w:pStyle w:val="BodyText"/>
              <w:spacing w:after="240"/>
              <w:ind w:left="953"/>
              <w:jc w:val="both"/>
              <w:rPr>
                <w:bCs/>
                <w:sz w:val="20"/>
              </w:rPr>
            </w:pPr>
            <w:r w:rsidRPr="003E7FFC">
              <w:rPr>
                <w:bCs/>
                <w:sz w:val="20"/>
              </w:rPr>
              <w:t xml:space="preserve">(xiii)  </w:t>
            </w:r>
            <w:r w:rsidRPr="003E7FFC">
              <w:rPr>
                <w:snapToGrid w:val="0"/>
                <w:color w:val="000000"/>
                <w:sz w:val="20"/>
              </w:rPr>
              <w:t xml:space="preserve">Each Party is an </w:t>
            </w:r>
            <w:r w:rsidR="00A34C9E">
              <w:rPr>
                <w:snapToGrid w:val="0"/>
                <w:color w:val="000000"/>
                <w:sz w:val="20"/>
              </w:rPr>
              <w:t>“</w:t>
            </w:r>
            <w:r w:rsidRPr="003E7FFC">
              <w:rPr>
                <w:snapToGrid w:val="0"/>
                <w:color w:val="000000"/>
                <w:sz w:val="20"/>
              </w:rPr>
              <w:t>Eligible Contract Participant</w:t>
            </w:r>
            <w:r w:rsidR="00A34C9E">
              <w:rPr>
                <w:snapToGrid w:val="0"/>
                <w:color w:val="000000"/>
                <w:sz w:val="20"/>
              </w:rPr>
              <w:t>”</w:t>
            </w:r>
            <w:r w:rsidRPr="003E7FFC">
              <w:rPr>
                <w:snapToGrid w:val="0"/>
                <w:color w:val="000000"/>
                <w:sz w:val="20"/>
              </w:rPr>
              <w:t xml:space="preserve"> as defined in Section 1</w:t>
            </w:r>
            <w:proofErr w:type="gramStart"/>
            <w:r w:rsidRPr="003E7FFC">
              <w:rPr>
                <w:snapToGrid w:val="0"/>
                <w:color w:val="000000"/>
                <w:sz w:val="20"/>
              </w:rPr>
              <w:t>a(</w:t>
            </w:r>
            <w:proofErr w:type="gramEnd"/>
            <w:r w:rsidR="005B1F6B" w:rsidRPr="003E7FFC">
              <w:rPr>
                <w:snapToGrid w:val="0"/>
                <w:color w:val="000000"/>
                <w:sz w:val="20"/>
              </w:rPr>
              <w:t>18</w:t>
            </w:r>
            <w:r w:rsidRPr="003E7FFC">
              <w:rPr>
                <w:snapToGrid w:val="0"/>
                <w:color w:val="000000"/>
                <w:sz w:val="20"/>
              </w:rPr>
              <w:t>) of the Commodity Exchange Act, as amended, 7 U.S.C</w:t>
            </w:r>
            <w:r w:rsidR="002B35C9">
              <w:rPr>
                <w:snapToGrid w:val="0"/>
                <w:color w:val="000000"/>
                <w:sz w:val="20"/>
              </w:rPr>
              <w:t xml:space="preserve">.  </w:t>
            </w:r>
            <w:r w:rsidRPr="003E7FFC">
              <w:rPr>
                <w:snapToGrid w:val="0"/>
                <w:color w:val="000000"/>
                <w:sz w:val="20"/>
              </w:rPr>
              <w:t>§ 1</w:t>
            </w:r>
            <w:proofErr w:type="gramStart"/>
            <w:r w:rsidRPr="003E7FFC">
              <w:rPr>
                <w:snapToGrid w:val="0"/>
                <w:color w:val="000000"/>
                <w:sz w:val="20"/>
              </w:rPr>
              <w:t>a(</w:t>
            </w:r>
            <w:proofErr w:type="gramEnd"/>
            <w:r w:rsidR="005B1F6B" w:rsidRPr="003E7FFC">
              <w:rPr>
                <w:snapToGrid w:val="0"/>
                <w:color w:val="000000"/>
                <w:sz w:val="20"/>
              </w:rPr>
              <w:t>18</w:t>
            </w:r>
            <w:r w:rsidRPr="003E7FFC">
              <w:rPr>
                <w:snapToGrid w:val="0"/>
                <w:color w:val="000000"/>
                <w:sz w:val="20"/>
              </w:rPr>
              <w:t>)</w:t>
            </w:r>
            <w:r w:rsidRPr="003E7FFC">
              <w:rPr>
                <w:bCs/>
                <w:sz w:val="20"/>
              </w:rPr>
              <w:t>.</w:t>
            </w:r>
          </w:p>
          <w:p w:rsidR="007130CD" w:rsidRPr="00E629BB" w:rsidRDefault="00C64D15" w:rsidP="00DC6A71">
            <w:pPr>
              <w:pStyle w:val="BodyText"/>
              <w:spacing w:after="240"/>
              <w:jc w:val="both"/>
              <w:rPr>
                <w:b/>
                <w:bCs/>
                <w:sz w:val="20"/>
              </w:rPr>
            </w:pPr>
            <w:r w:rsidRPr="003E7FFC">
              <w:rPr>
                <w:b/>
                <w:bCs/>
                <w:sz w:val="20"/>
              </w:rPr>
              <w:t>2</w:t>
            </w:r>
            <w:r w:rsidR="002C6E3D">
              <w:rPr>
                <w:b/>
                <w:bCs/>
                <w:sz w:val="20"/>
              </w:rPr>
              <w:t>7</w:t>
            </w:r>
            <w:r w:rsidR="002B35C9" w:rsidRPr="00E629BB">
              <w:rPr>
                <w:b/>
                <w:bCs/>
                <w:sz w:val="20"/>
              </w:rPr>
              <w:t xml:space="preserve">.  </w:t>
            </w:r>
            <w:r w:rsidR="007130CD" w:rsidRPr="00E629BB">
              <w:rPr>
                <w:b/>
                <w:bCs/>
                <w:sz w:val="20"/>
              </w:rPr>
              <w:t>Section 10.7</w:t>
            </w:r>
            <w:r w:rsidR="004E0826" w:rsidRPr="00E629BB">
              <w:rPr>
                <w:sz w:val="20"/>
              </w:rPr>
              <w:t>—</w:t>
            </w:r>
            <w:r w:rsidR="007130CD" w:rsidRPr="00E629BB">
              <w:rPr>
                <w:b/>
                <w:bCs/>
                <w:sz w:val="20"/>
              </w:rPr>
              <w:t>Notices</w:t>
            </w:r>
          </w:p>
          <w:p w:rsidR="00816AB3" w:rsidRPr="00E629BB" w:rsidRDefault="007130CD" w:rsidP="00DC6A71">
            <w:pPr>
              <w:pStyle w:val="BodyTextFirstIndent"/>
              <w:ind w:firstLine="0"/>
              <w:rPr>
                <w:sz w:val="20"/>
              </w:rPr>
            </w:pPr>
            <w:permStart w:id="1206535854" w:edGrp="everyone"/>
            <w:r w:rsidRPr="00E629BB">
              <w:rPr>
                <w:sz w:val="20"/>
              </w:rPr>
              <w:t xml:space="preserve">Section 10.7 is </w:t>
            </w:r>
            <w:r w:rsidR="00E9726F" w:rsidRPr="00E629BB">
              <w:rPr>
                <w:sz w:val="20"/>
              </w:rPr>
              <w:t xml:space="preserve">deleted in its entirety </w:t>
            </w:r>
            <w:r w:rsidR="00770D72">
              <w:rPr>
                <w:sz w:val="20"/>
              </w:rPr>
              <w:t>and replaced with the following</w:t>
            </w:r>
            <w:r w:rsidRPr="00E629BB">
              <w:rPr>
                <w:sz w:val="20"/>
              </w:rPr>
              <w:t>:</w:t>
            </w:r>
          </w:p>
          <w:p w:rsidR="00CD525C" w:rsidRPr="00E629BB" w:rsidRDefault="00176AAC" w:rsidP="00DC6A71">
            <w:pPr>
              <w:pStyle w:val="BodyTextFirstIndent"/>
              <w:ind w:firstLine="0"/>
              <w:rPr>
                <w:sz w:val="20"/>
              </w:rPr>
            </w:pPr>
            <w:r w:rsidRPr="00E629BB">
              <w:rPr>
                <w:sz w:val="20"/>
                <w:u w:val="single"/>
              </w:rPr>
              <w:t>10.7 Notices</w:t>
            </w:r>
            <w:r w:rsidR="002B35C9" w:rsidRPr="00E629BB">
              <w:rPr>
                <w:sz w:val="20"/>
                <w:u w:val="single"/>
              </w:rPr>
              <w:t xml:space="preserve">.  </w:t>
            </w:r>
            <w:r w:rsidRPr="00E629BB">
              <w:rPr>
                <w:sz w:val="20"/>
              </w:rPr>
              <w:t>All notices, requests, statements or payments shall be made as specified in the Cover Sheet</w:t>
            </w:r>
            <w:r w:rsidR="002B35C9" w:rsidRPr="00E629BB">
              <w:rPr>
                <w:sz w:val="20"/>
              </w:rPr>
              <w:t xml:space="preserve">.  </w:t>
            </w:r>
            <w:r w:rsidRPr="00E629BB">
              <w:rPr>
                <w:sz w:val="20"/>
              </w:rPr>
              <w:t xml:space="preserve">Notices (other than scheduling requests) shall, unless otherwise specified herein, be in writing and may be delivered by hand delivery, United States mail, overnight courier service or </w:t>
            </w:r>
            <w:r w:rsidR="00E9726F" w:rsidRPr="00E629BB">
              <w:rPr>
                <w:sz w:val="20"/>
              </w:rPr>
              <w:t xml:space="preserve">electronic means </w:t>
            </w:r>
            <w:r w:rsidRPr="00E629BB">
              <w:rPr>
                <w:sz w:val="20"/>
                <w:u w:val="single"/>
              </w:rPr>
              <w:t>provided, however</w:t>
            </w:r>
            <w:r w:rsidR="00E9726F" w:rsidRPr="00E629BB">
              <w:rPr>
                <w:sz w:val="20"/>
              </w:rPr>
              <w:t>, that any non-routine notices (e.g., notices of default) shall be delivered by a means other than an electronic means</w:t>
            </w:r>
            <w:r w:rsidR="002B35C9" w:rsidRPr="00E629BB">
              <w:rPr>
                <w:sz w:val="20"/>
              </w:rPr>
              <w:t xml:space="preserve">.  </w:t>
            </w:r>
            <w:r w:rsidRPr="00E629BB">
              <w:rPr>
                <w:sz w:val="20"/>
              </w:rPr>
              <w:t xml:space="preserve">Notice by </w:t>
            </w:r>
            <w:r w:rsidR="00E9726F" w:rsidRPr="00E629BB">
              <w:rPr>
                <w:sz w:val="20"/>
              </w:rPr>
              <w:t>electronic means</w:t>
            </w:r>
            <w:r w:rsidRPr="00E629BB">
              <w:rPr>
                <w:sz w:val="20"/>
              </w:rPr>
              <w:t xml:space="preserve"> or hand delivery shall be effective at the close of business on the day </w:t>
            </w:r>
            <w:proofErr w:type="gramStart"/>
            <w:r w:rsidRPr="00E629BB">
              <w:rPr>
                <w:sz w:val="20"/>
              </w:rPr>
              <w:t>actually received</w:t>
            </w:r>
            <w:proofErr w:type="gramEnd"/>
            <w:r w:rsidRPr="00E629BB">
              <w:rPr>
                <w:sz w:val="20"/>
              </w:rPr>
              <w:t>, if received during business hours on a Business Day, and otherwise shall be effective at the close of business on the next Business Day</w:t>
            </w:r>
            <w:r w:rsidR="002B35C9" w:rsidRPr="00E629BB">
              <w:rPr>
                <w:sz w:val="20"/>
              </w:rPr>
              <w:t xml:space="preserve">.  </w:t>
            </w:r>
            <w:r w:rsidRPr="00E629BB">
              <w:rPr>
                <w:sz w:val="20"/>
              </w:rPr>
              <w:t>Notice by overnight United States mail or courier shall be effective on the next Business Day after it was sent</w:t>
            </w:r>
            <w:r w:rsidR="002B35C9" w:rsidRPr="00E629BB">
              <w:rPr>
                <w:sz w:val="20"/>
              </w:rPr>
              <w:t xml:space="preserve">.  </w:t>
            </w:r>
            <w:r w:rsidRPr="00E629BB">
              <w:rPr>
                <w:sz w:val="20"/>
              </w:rPr>
              <w:t>A Party may change its addresses by providing notice of same in accordance herewith.</w:t>
            </w:r>
          </w:p>
          <w:permEnd w:id="1206535854"/>
          <w:p w:rsidR="007130CD" w:rsidRPr="00E629BB" w:rsidRDefault="007123D7" w:rsidP="00DC6A71">
            <w:pPr>
              <w:pStyle w:val="BodyTextFirstIndent"/>
              <w:ind w:firstLine="0"/>
              <w:rPr>
                <w:sz w:val="20"/>
              </w:rPr>
            </w:pPr>
            <w:r w:rsidRPr="00E629BB">
              <w:rPr>
                <w:b/>
                <w:bCs/>
                <w:sz w:val="20"/>
              </w:rPr>
              <w:t>2</w:t>
            </w:r>
            <w:r w:rsidR="002C6E3D" w:rsidRPr="00E629BB">
              <w:rPr>
                <w:b/>
                <w:bCs/>
                <w:sz w:val="20"/>
              </w:rPr>
              <w:t>8</w:t>
            </w:r>
            <w:r w:rsidR="002B35C9" w:rsidRPr="00E629BB">
              <w:rPr>
                <w:sz w:val="20"/>
              </w:rPr>
              <w:t xml:space="preserve">.  </w:t>
            </w:r>
            <w:r w:rsidR="007130CD" w:rsidRPr="00E629BB">
              <w:rPr>
                <w:b/>
                <w:bCs/>
                <w:sz w:val="20"/>
              </w:rPr>
              <w:t>Section 10.8</w:t>
            </w:r>
            <w:r w:rsidR="004E0826" w:rsidRPr="00E629BB">
              <w:rPr>
                <w:sz w:val="20"/>
              </w:rPr>
              <w:t>—</w:t>
            </w:r>
            <w:r w:rsidR="007130CD" w:rsidRPr="00E629BB">
              <w:rPr>
                <w:b/>
                <w:bCs/>
                <w:sz w:val="20"/>
              </w:rPr>
              <w:t>General</w:t>
            </w:r>
          </w:p>
          <w:p w:rsidR="007130CD" w:rsidRPr="00E629BB" w:rsidRDefault="007130CD" w:rsidP="00DC6A71">
            <w:pPr>
              <w:pStyle w:val="BodyTextFirstIndent"/>
              <w:ind w:firstLine="0"/>
              <w:rPr>
                <w:sz w:val="20"/>
              </w:rPr>
            </w:pPr>
            <w:r w:rsidRPr="00E629BB">
              <w:rPr>
                <w:sz w:val="20"/>
              </w:rPr>
              <w:t>Section 10.8 is amended by adding the following to the end of the section:</w:t>
            </w:r>
          </w:p>
          <w:p w:rsidR="00FD31CE" w:rsidRPr="00E629BB" w:rsidRDefault="00A34C9E" w:rsidP="00DC6A71">
            <w:pPr>
              <w:pStyle w:val="BodyTextFirstIndent"/>
              <w:ind w:left="720" w:firstLine="0"/>
              <w:rPr>
                <w:sz w:val="20"/>
              </w:rPr>
            </w:pPr>
            <w:permStart w:id="1452283333" w:edGrp="everyone"/>
            <w:r>
              <w:rPr>
                <w:sz w:val="20"/>
              </w:rPr>
              <w:t>“</w:t>
            </w:r>
            <w:r w:rsidR="00F75471" w:rsidRPr="00E629BB">
              <w:rPr>
                <w:sz w:val="20"/>
              </w:rPr>
              <w:t>This Agreement, including any Confirmations, any Guaranty and any other related documents, may be executed in counterparts, each of which will be deemed an original but all of which taken together will constitute one and the same original instrument</w:t>
            </w:r>
            <w:r w:rsidR="002B35C9" w:rsidRPr="00E629BB">
              <w:rPr>
                <w:sz w:val="20"/>
              </w:rPr>
              <w:t xml:space="preserve">.  </w:t>
            </w:r>
            <w:r w:rsidR="00F75471" w:rsidRPr="00E629BB">
              <w:rPr>
                <w:sz w:val="20"/>
              </w:rPr>
              <w:t>Delivery of an executed counterpart of a signature page to this Agreement</w:t>
            </w:r>
            <w:r w:rsidR="00DD341C" w:rsidRPr="00E629BB">
              <w:rPr>
                <w:sz w:val="20"/>
              </w:rPr>
              <w:t xml:space="preserve">, </w:t>
            </w:r>
            <w:r w:rsidR="00F75471" w:rsidRPr="00E629BB">
              <w:rPr>
                <w:sz w:val="20"/>
              </w:rPr>
              <w:t>any Confirmation</w:t>
            </w:r>
            <w:r w:rsidR="00DD341C" w:rsidRPr="00E629BB">
              <w:rPr>
                <w:sz w:val="20"/>
              </w:rPr>
              <w:t xml:space="preserve">, any Guaranty or any other related documents </w:t>
            </w:r>
            <w:r w:rsidR="00F75471" w:rsidRPr="00E629BB">
              <w:rPr>
                <w:sz w:val="20"/>
              </w:rPr>
              <w:t>by electronic means shall be effective as delivery of a manually executed counterpart of this Agreement</w:t>
            </w:r>
            <w:r w:rsidR="00DD341C" w:rsidRPr="00E629BB">
              <w:rPr>
                <w:sz w:val="20"/>
              </w:rPr>
              <w:t>,</w:t>
            </w:r>
            <w:r w:rsidR="00F75471" w:rsidRPr="00E629BB">
              <w:rPr>
                <w:sz w:val="20"/>
              </w:rPr>
              <w:t xml:space="preserve"> </w:t>
            </w:r>
            <w:r w:rsidR="00DD341C" w:rsidRPr="00E629BB">
              <w:rPr>
                <w:sz w:val="20"/>
              </w:rPr>
              <w:t xml:space="preserve">any </w:t>
            </w:r>
            <w:r w:rsidR="00F75471" w:rsidRPr="00E629BB">
              <w:rPr>
                <w:sz w:val="20"/>
              </w:rPr>
              <w:t>Confirmation</w:t>
            </w:r>
            <w:r w:rsidR="00DD341C" w:rsidRPr="00E629BB">
              <w:rPr>
                <w:sz w:val="20"/>
              </w:rPr>
              <w:t>, any Guaranty or any other related documents</w:t>
            </w:r>
            <w:r w:rsidR="002B35C9" w:rsidRPr="00E629BB">
              <w:rPr>
                <w:sz w:val="20"/>
              </w:rPr>
              <w:t xml:space="preserve">.  </w:t>
            </w:r>
            <w:r w:rsidR="00F75471" w:rsidRPr="00E629BB">
              <w:rPr>
                <w:sz w:val="20"/>
              </w:rPr>
              <w:t xml:space="preserve">Electronic </w:t>
            </w:r>
            <w:r w:rsidR="00F75471" w:rsidRPr="00E629BB">
              <w:rPr>
                <w:color w:val="000000"/>
                <w:sz w:val="20"/>
              </w:rPr>
              <w:t xml:space="preserve">copies of executed original copies of this Agreement, any </w:t>
            </w:r>
            <w:r w:rsidR="00F75471" w:rsidRPr="00E629BB">
              <w:rPr>
                <w:sz w:val="20"/>
              </w:rPr>
              <w:t>Confirmation, any Guaranty and any other related documents</w:t>
            </w:r>
            <w:r w:rsidR="00F75471" w:rsidRPr="00E629BB">
              <w:rPr>
                <w:color w:val="000000"/>
                <w:sz w:val="20"/>
              </w:rPr>
              <w:t xml:space="preserve"> shall be sufficient and admissible evidence of the content and existence of this Agreement, any </w:t>
            </w:r>
            <w:r w:rsidR="00F75471" w:rsidRPr="00E629BB">
              <w:rPr>
                <w:sz w:val="20"/>
              </w:rPr>
              <w:t>Confirmation, any Guaranty or any other related documents</w:t>
            </w:r>
            <w:r w:rsidR="00F75471" w:rsidRPr="00E629BB">
              <w:rPr>
                <w:color w:val="000000"/>
                <w:sz w:val="20"/>
              </w:rPr>
              <w:t xml:space="preserve"> to the same extent as the originally executed </w:t>
            </w:r>
            <w:r w:rsidR="00F75471" w:rsidRPr="00E629BB">
              <w:rPr>
                <w:color w:val="000000"/>
                <w:sz w:val="20"/>
              </w:rPr>
              <w:lastRenderedPageBreak/>
              <w:t>copy or copies (if executed in counterpart)</w:t>
            </w:r>
            <w:r w:rsidR="00E4159F" w:rsidRPr="00E629BB">
              <w:rPr>
                <w:color w:val="000000"/>
                <w:sz w:val="20"/>
              </w:rPr>
              <w:t>.</w:t>
            </w:r>
            <w:r>
              <w:rPr>
                <w:sz w:val="20"/>
              </w:rPr>
              <w:t>”</w:t>
            </w:r>
            <w:r w:rsidR="00F75471" w:rsidRPr="00E629BB">
              <w:rPr>
                <w:sz w:val="20"/>
              </w:rPr>
              <w:t xml:space="preserve"> </w:t>
            </w:r>
          </w:p>
          <w:permEnd w:id="1452283333"/>
          <w:p w:rsidR="00426331" w:rsidRPr="00E629BB" w:rsidRDefault="00426331" w:rsidP="00DC6A71">
            <w:pPr>
              <w:pStyle w:val="BodyText"/>
              <w:spacing w:after="240"/>
              <w:jc w:val="both"/>
              <w:rPr>
                <w:b/>
                <w:bCs/>
                <w:sz w:val="20"/>
              </w:rPr>
            </w:pPr>
          </w:p>
          <w:p w:rsidR="00E17F21" w:rsidRPr="00E629BB" w:rsidRDefault="0048322B" w:rsidP="00DC6A71">
            <w:pPr>
              <w:pStyle w:val="BodyText"/>
              <w:spacing w:after="240"/>
              <w:jc w:val="both"/>
              <w:rPr>
                <w:b/>
                <w:bCs/>
                <w:sz w:val="20"/>
              </w:rPr>
            </w:pPr>
            <w:r w:rsidRPr="00E629BB">
              <w:rPr>
                <w:b/>
                <w:bCs/>
                <w:sz w:val="20"/>
              </w:rPr>
              <w:t>2</w:t>
            </w:r>
            <w:r w:rsidR="002C6E3D" w:rsidRPr="00E629BB">
              <w:rPr>
                <w:b/>
                <w:bCs/>
                <w:sz w:val="20"/>
              </w:rPr>
              <w:t>9</w:t>
            </w:r>
            <w:r w:rsidR="002B35C9" w:rsidRPr="00E629BB">
              <w:rPr>
                <w:b/>
                <w:bCs/>
                <w:sz w:val="20"/>
              </w:rPr>
              <w:t xml:space="preserve">.  </w:t>
            </w:r>
            <w:r w:rsidR="00E17F21" w:rsidRPr="00E629BB">
              <w:rPr>
                <w:b/>
                <w:bCs/>
                <w:sz w:val="20"/>
              </w:rPr>
              <w:t>Section 10.9</w:t>
            </w:r>
            <w:r w:rsidR="004E0826" w:rsidRPr="00E629BB">
              <w:rPr>
                <w:sz w:val="20"/>
              </w:rPr>
              <w:t>—</w:t>
            </w:r>
            <w:r w:rsidR="00E17F21" w:rsidRPr="00E629BB">
              <w:rPr>
                <w:b/>
                <w:bCs/>
                <w:sz w:val="20"/>
              </w:rPr>
              <w:t>Audit.</w:t>
            </w:r>
          </w:p>
          <w:p w:rsidR="00E17F21" w:rsidRPr="00E629BB" w:rsidRDefault="00E17F21" w:rsidP="00DC6A71">
            <w:pPr>
              <w:pStyle w:val="BodyText"/>
              <w:spacing w:after="240"/>
              <w:jc w:val="both"/>
              <w:rPr>
                <w:bCs/>
                <w:sz w:val="20"/>
              </w:rPr>
            </w:pPr>
            <w:r w:rsidRPr="00E629BB">
              <w:rPr>
                <w:bCs/>
                <w:sz w:val="20"/>
              </w:rPr>
              <w:t xml:space="preserve">Section 10.9 is amended by inserting the phrase </w:t>
            </w:r>
            <w:r w:rsidR="00A34C9E">
              <w:rPr>
                <w:bCs/>
                <w:sz w:val="20"/>
              </w:rPr>
              <w:t>“</w:t>
            </w:r>
            <w:r w:rsidRPr="00E629BB">
              <w:rPr>
                <w:bCs/>
                <w:sz w:val="20"/>
              </w:rPr>
              <w:t>certified and authenticated copies of, or originals at the option of the Party providing the records,</w:t>
            </w:r>
            <w:r w:rsidR="00A34C9E">
              <w:rPr>
                <w:bCs/>
                <w:sz w:val="20"/>
              </w:rPr>
              <w:t>”</w:t>
            </w:r>
            <w:r w:rsidRPr="00E629BB">
              <w:rPr>
                <w:bCs/>
                <w:sz w:val="20"/>
              </w:rPr>
              <w:t xml:space="preserve"> in the second line between the phrase </w:t>
            </w:r>
            <w:r w:rsidR="00A34C9E">
              <w:rPr>
                <w:bCs/>
                <w:sz w:val="20"/>
              </w:rPr>
              <w:t>“</w:t>
            </w:r>
            <w:r w:rsidRPr="00E629BB">
              <w:rPr>
                <w:bCs/>
                <w:sz w:val="20"/>
              </w:rPr>
              <w:t>to examine</w:t>
            </w:r>
            <w:r w:rsidR="00A34C9E">
              <w:rPr>
                <w:bCs/>
                <w:sz w:val="20"/>
              </w:rPr>
              <w:t>”</w:t>
            </w:r>
            <w:r w:rsidRPr="00E629BB">
              <w:rPr>
                <w:bCs/>
                <w:sz w:val="20"/>
              </w:rPr>
              <w:t xml:space="preserve"> and the phrase </w:t>
            </w:r>
            <w:r w:rsidR="00A34C9E">
              <w:rPr>
                <w:bCs/>
                <w:sz w:val="20"/>
              </w:rPr>
              <w:t>“</w:t>
            </w:r>
            <w:r w:rsidRPr="00E629BB">
              <w:rPr>
                <w:bCs/>
                <w:sz w:val="20"/>
              </w:rPr>
              <w:t>the records.</w:t>
            </w:r>
            <w:r w:rsidR="00A34C9E">
              <w:rPr>
                <w:bCs/>
                <w:sz w:val="20"/>
              </w:rPr>
              <w:t>”</w:t>
            </w:r>
          </w:p>
          <w:p w:rsidR="007130CD" w:rsidRPr="00E629BB" w:rsidRDefault="002C6E3D" w:rsidP="00DC6A71">
            <w:pPr>
              <w:pStyle w:val="BodyText"/>
              <w:spacing w:after="240"/>
              <w:jc w:val="both"/>
              <w:rPr>
                <w:b/>
                <w:bCs/>
                <w:sz w:val="20"/>
              </w:rPr>
            </w:pPr>
            <w:r w:rsidRPr="00E629BB">
              <w:rPr>
                <w:b/>
                <w:bCs/>
                <w:sz w:val="20"/>
              </w:rPr>
              <w:t>30</w:t>
            </w:r>
            <w:r w:rsidR="002B35C9" w:rsidRPr="00E629BB">
              <w:rPr>
                <w:b/>
                <w:bCs/>
                <w:sz w:val="20"/>
              </w:rPr>
              <w:t xml:space="preserve">.  </w:t>
            </w:r>
            <w:r w:rsidR="007130CD" w:rsidRPr="00E629BB">
              <w:rPr>
                <w:b/>
                <w:bCs/>
                <w:sz w:val="20"/>
              </w:rPr>
              <w:t>Section 10.10</w:t>
            </w:r>
            <w:r w:rsidR="004E0826" w:rsidRPr="00E629BB">
              <w:rPr>
                <w:sz w:val="20"/>
              </w:rPr>
              <w:t>—</w:t>
            </w:r>
            <w:r w:rsidR="007130CD" w:rsidRPr="00E629BB">
              <w:rPr>
                <w:b/>
                <w:bCs/>
                <w:sz w:val="20"/>
              </w:rPr>
              <w:t>Forward Contract</w:t>
            </w:r>
          </w:p>
          <w:p w:rsidR="007130CD" w:rsidRPr="00E629BB" w:rsidRDefault="007130CD" w:rsidP="00DC6A71">
            <w:pPr>
              <w:pStyle w:val="BodyText"/>
              <w:spacing w:after="240"/>
              <w:jc w:val="both"/>
              <w:rPr>
                <w:color w:val="000000"/>
                <w:sz w:val="20"/>
              </w:rPr>
            </w:pPr>
            <w:r w:rsidRPr="00E629BB">
              <w:rPr>
                <w:sz w:val="20"/>
              </w:rPr>
              <w:t>Section 10.10 is replaced in its entirety with the following:</w:t>
            </w:r>
          </w:p>
          <w:p w:rsidR="00CD525C" w:rsidRPr="00E629BB" w:rsidRDefault="007130CD" w:rsidP="00DC6A71">
            <w:pPr>
              <w:pStyle w:val="BodyText"/>
              <w:spacing w:after="240"/>
              <w:ind w:left="720"/>
              <w:jc w:val="both"/>
              <w:rPr>
                <w:bCs/>
                <w:sz w:val="20"/>
              </w:rPr>
            </w:pPr>
            <w:bookmarkStart w:id="3" w:name="_DV_C2"/>
            <w:proofErr w:type="gramStart"/>
            <w:r w:rsidRPr="00E629BB">
              <w:rPr>
                <w:sz w:val="20"/>
                <w:u w:val="single"/>
              </w:rPr>
              <w:t>10.10</w:t>
            </w:r>
            <w:bookmarkStart w:id="4" w:name="_DV_M1"/>
            <w:bookmarkEnd w:id="3"/>
            <w:bookmarkEnd w:id="4"/>
            <w:r w:rsidRPr="00E629BB">
              <w:rPr>
                <w:sz w:val="20"/>
                <w:u w:val="single"/>
              </w:rPr>
              <w:t xml:space="preserve">  </w:t>
            </w:r>
            <w:r w:rsidRPr="00E629BB">
              <w:rPr>
                <w:bCs/>
                <w:sz w:val="20"/>
                <w:u w:val="single"/>
              </w:rPr>
              <w:t>Bankruptcy</w:t>
            </w:r>
            <w:proofErr w:type="gramEnd"/>
            <w:r w:rsidRPr="00E629BB">
              <w:rPr>
                <w:bCs/>
                <w:sz w:val="20"/>
                <w:u w:val="single"/>
              </w:rPr>
              <w:t xml:space="preserve"> Issues</w:t>
            </w:r>
            <w:r w:rsidR="002B35C9" w:rsidRPr="00E629BB">
              <w:rPr>
                <w:bCs/>
                <w:sz w:val="20"/>
                <w:u w:val="single"/>
              </w:rPr>
              <w:t xml:space="preserve">.  </w:t>
            </w:r>
            <w:r w:rsidRPr="00E629BB">
              <w:rPr>
                <w:bCs/>
                <w:sz w:val="20"/>
              </w:rPr>
              <w:t>The Parties intend that (i) all Transactions constitute a </w:t>
            </w:r>
            <w:r w:rsidR="00A34C9E">
              <w:rPr>
                <w:bCs/>
                <w:sz w:val="20"/>
              </w:rPr>
              <w:t>”</w:t>
            </w:r>
            <w:r w:rsidRPr="00E629BB">
              <w:rPr>
                <w:bCs/>
                <w:sz w:val="20"/>
              </w:rPr>
              <w:t>forward contract</w:t>
            </w:r>
            <w:r w:rsidR="00A34C9E">
              <w:rPr>
                <w:bCs/>
                <w:sz w:val="20"/>
              </w:rPr>
              <w:t>”</w:t>
            </w:r>
            <w:r w:rsidRPr="00E629BB">
              <w:rPr>
                <w:bCs/>
                <w:sz w:val="20"/>
              </w:rPr>
              <w:t xml:space="preserve"> within the meaning of the United States Bankruptcy  Code (the  </w:t>
            </w:r>
            <w:r w:rsidR="00A34C9E">
              <w:rPr>
                <w:bCs/>
                <w:sz w:val="20"/>
              </w:rPr>
              <w:t>“</w:t>
            </w:r>
            <w:r w:rsidRPr="00E629BB">
              <w:rPr>
                <w:bCs/>
                <w:sz w:val="20"/>
              </w:rPr>
              <w:t>Bankruptcy Code</w:t>
            </w:r>
            <w:r w:rsidR="00A34C9E">
              <w:rPr>
                <w:bCs/>
                <w:sz w:val="20"/>
              </w:rPr>
              <w:t>”</w:t>
            </w:r>
            <w:r w:rsidRPr="00E629BB">
              <w:rPr>
                <w:bCs/>
                <w:sz w:val="20"/>
              </w:rPr>
              <w:t xml:space="preserve">); (ii) all payments made or to be made by one Party to the other Party  pursuant to this Agreement constitute </w:t>
            </w:r>
            <w:r w:rsidR="00A34C9E">
              <w:rPr>
                <w:bCs/>
                <w:sz w:val="20"/>
              </w:rPr>
              <w:t>“</w:t>
            </w:r>
            <w:r w:rsidRPr="00E629BB">
              <w:rPr>
                <w:bCs/>
                <w:sz w:val="20"/>
              </w:rPr>
              <w:t>settlement payments</w:t>
            </w:r>
            <w:r w:rsidR="00A34C9E">
              <w:rPr>
                <w:bCs/>
                <w:sz w:val="20"/>
              </w:rPr>
              <w:t>”</w:t>
            </w:r>
            <w:r w:rsidRPr="00E629BB">
              <w:rPr>
                <w:bCs/>
                <w:sz w:val="20"/>
              </w:rPr>
              <w:t xml:space="preserve">  within  the meaning of the Bankruptcy Code; (iii) all transfers of  Performance Assurance  by  one  Party  to  the  other Party under this Agreement constitute </w:t>
            </w:r>
            <w:r w:rsidR="00A34C9E">
              <w:rPr>
                <w:bCs/>
                <w:sz w:val="20"/>
              </w:rPr>
              <w:t>“</w:t>
            </w:r>
            <w:r w:rsidRPr="00E629BB">
              <w:rPr>
                <w:bCs/>
                <w:sz w:val="20"/>
              </w:rPr>
              <w:t>margin payments</w:t>
            </w:r>
            <w:r w:rsidR="00A34C9E">
              <w:rPr>
                <w:bCs/>
                <w:sz w:val="20"/>
              </w:rPr>
              <w:t>”</w:t>
            </w:r>
            <w:r w:rsidRPr="00E629BB">
              <w:rPr>
                <w:bCs/>
                <w:sz w:val="20"/>
              </w:rPr>
              <w:t xml:space="preserve"> within the meaning of the Bankruptcy Code; and  (iv) this Agreement  constitutes a </w:t>
            </w:r>
            <w:r w:rsidR="00A34C9E">
              <w:rPr>
                <w:bCs/>
                <w:sz w:val="20"/>
              </w:rPr>
              <w:t>“</w:t>
            </w:r>
            <w:r w:rsidRPr="00E629BB">
              <w:rPr>
                <w:bCs/>
                <w:sz w:val="20"/>
              </w:rPr>
              <w:t>master netting agreement</w:t>
            </w:r>
            <w:r w:rsidR="00A34C9E">
              <w:rPr>
                <w:bCs/>
                <w:sz w:val="20"/>
              </w:rPr>
              <w:t>”</w:t>
            </w:r>
            <w:r w:rsidRPr="00E629BB">
              <w:rPr>
                <w:bCs/>
                <w:sz w:val="20"/>
              </w:rPr>
              <w:t xml:space="preserve"> within the meaning of the Bankruptcy Code.</w:t>
            </w:r>
          </w:p>
          <w:p w:rsidR="007130CD" w:rsidRPr="00E629BB" w:rsidRDefault="002C6E3D" w:rsidP="00DC6A71">
            <w:pPr>
              <w:pStyle w:val="BodyText"/>
              <w:spacing w:after="240"/>
              <w:jc w:val="both"/>
              <w:rPr>
                <w:b/>
                <w:sz w:val="20"/>
              </w:rPr>
            </w:pPr>
            <w:r w:rsidRPr="00E629BB">
              <w:rPr>
                <w:b/>
                <w:sz w:val="20"/>
              </w:rPr>
              <w:t>31</w:t>
            </w:r>
            <w:r w:rsidR="002B35C9" w:rsidRPr="00E629BB">
              <w:rPr>
                <w:b/>
                <w:sz w:val="20"/>
              </w:rPr>
              <w:t xml:space="preserve">.  </w:t>
            </w:r>
            <w:r w:rsidR="007130CD" w:rsidRPr="00E629BB">
              <w:rPr>
                <w:b/>
                <w:sz w:val="20"/>
              </w:rPr>
              <w:t>Section 10.11</w:t>
            </w:r>
            <w:r w:rsidR="004E0826" w:rsidRPr="00E629BB">
              <w:rPr>
                <w:sz w:val="20"/>
              </w:rPr>
              <w:t>—</w:t>
            </w:r>
            <w:r w:rsidR="007130CD" w:rsidRPr="00E629BB">
              <w:rPr>
                <w:b/>
                <w:sz w:val="20"/>
              </w:rPr>
              <w:t>Confidentiality</w:t>
            </w:r>
          </w:p>
          <w:p w:rsidR="007130CD" w:rsidRPr="00E629BB" w:rsidRDefault="007130CD" w:rsidP="00DC6A71">
            <w:pPr>
              <w:pStyle w:val="BodyText"/>
              <w:spacing w:after="240"/>
              <w:jc w:val="both"/>
              <w:rPr>
                <w:bCs/>
                <w:sz w:val="20"/>
              </w:rPr>
            </w:pPr>
            <w:r w:rsidRPr="00E629BB">
              <w:rPr>
                <w:bCs/>
                <w:sz w:val="20"/>
              </w:rPr>
              <w:t xml:space="preserve">Section 10.11 is </w:t>
            </w:r>
            <w:r w:rsidR="000F2E54" w:rsidRPr="00E629BB">
              <w:rPr>
                <w:sz w:val="20"/>
              </w:rPr>
              <w:t>deleted in its entirety and replaced with the following:</w:t>
            </w:r>
            <w:r w:rsidRPr="00E629BB">
              <w:rPr>
                <w:bCs/>
                <w:sz w:val="20"/>
              </w:rPr>
              <w:t xml:space="preserve">  </w:t>
            </w:r>
          </w:p>
          <w:p w:rsidR="007130CD" w:rsidRPr="003E7FFC" w:rsidRDefault="00A34C9E" w:rsidP="00DC6A71">
            <w:pPr>
              <w:pStyle w:val="BodyText"/>
              <w:spacing w:after="240"/>
              <w:ind w:left="18"/>
              <w:jc w:val="both"/>
              <w:rPr>
                <w:b/>
                <w:sz w:val="20"/>
              </w:rPr>
            </w:pPr>
            <w:r>
              <w:rPr>
                <w:sz w:val="20"/>
              </w:rPr>
              <w:t>“</w:t>
            </w:r>
            <w:r w:rsidR="000F2E54" w:rsidRPr="00E629BB">
              <w:rPr>
                <w:sz w:val="20"/>
              </w:rPr>
              <w:t>If the Parties have elected on the Cover Sheet to make this Section 10.11 applicable to this Master Agreement, neither Party shall disclose the terms or conditions of a Transaction under this Master Agreement or the completed Cover Sheet to, or any annex to, this Master Agreement to a third party (other than the Party</w:t>
            </w:r>
            <w:r>
              <w:rPr>
                <w:sz w:val="20"/>
              </w:rPr>
              <w:t>’</w:t>
            </w:r>
            <w:r w:rsidR="000F2E54" w:rsidRPr="00E629BB">
              <w:rPr>
                <w:sz w:val="20"/>
              </w:rPr>
              <w:t>s or the Party</w:t>
            </w:r>
            <w:r>
              <w:rPr>
                <w:sz w:val="20"/>
              </w:rPr>
              <w:t>’</w:t>
            </w:r>
            <w:r w:rsidR="000F2E54" w:rsidRPr="00E629BB">
              <w:rPr>
                <w:sz w:val="20"/>
              </w:rPr>
              <w:t xml:space="preserve">s Guarantor employees, lenders, counsel, accountants or advisors (all collectively referred to as </w:t>
            </w:r>
            <w:r>
              <w:rPr>
                <w:sz w:val="20"/>
              </w:rPr>
              <w:t>“</w:t>
            </w:r>
            <w:r w:rsidR="000F2E54" w:rsidRPr="00E629BB">
              <w:rPr>
                <w:sz w:val="20"/>
              </w:rPr>
              <w:t>Representatives</w:t>
            </w:r>
            <w:r>
              <w:rPr>
                <w:sz w:val="20"/>
              </w:rPr>
              <w:t>”</w:t>
            </w:r>
            <w:r w:rsidR="000F2E54" w:rsidRPr="00E629BB">
              <w:rPr>
                <w:sz w:val="20"/>
              </w:rPr>
              <w:t>) who have a need to know such information and who the Party is satisfied will keep such terms confidential) ex</w:t>
            </w:r>
            <w:r w:rsidR="000F2E54" w:rsidRPr="003E7FFC">
              <w:rPr>
                <w:sz w:val="20"/>
              </w:rPr>
              <w:t>cept in order to comply with any applicable law, regulation, or any exchange, control area or independent system operator rule or in connection with any court or regulatory proceeding</w:t>
            </w:r>
            <w:r w:rsidR="000F2E54" w:rsidRPr="003E7FFC">
              <w:rPr>
                <w:i/>
                <w:sz w:val="20"/>
              </w:rPr>
              <w:t>;</w:t>
            </w:r>
            <w:r w:rsidR="000F2E54" w:rsidRPr="003E7FFC">
              <w:rPr>
                <w:sz w:val="20"/>
              </w:rPr>
              <w:t xml:space="preserve"> </w:t>
            </w:r>
            <w:r w:rsidR="00605E58" w:rsidRPr="003E7FFC">
              <w:rPr>
                <w:sz w:val="20"/>
              </w:rPr>
              <w:t xml:space="preserve">or request by a regulatory authority </w:t>
            </w:r>
            <w:r w:rsidR="0062445A" w:rsidRPr="003E7FFC">
              <w:rPr>
                <w:sz w:val="20"/>
              </w:rPr>
              <w:t xml:space="preserve">or self-regulatory body or authority </w:t>
            </w:r>
            <w:r w:rsidR="00605E58" w:rsidRPr="003E7FFC">
              <w:rPr>
                <w:sz w:val="20"/>
              </w:rPr>
              <w:t xml:space="preserve">and in the event that any disclosure is requested or required by the regulatory authority or a government body by interrogatory, request for information or documents, subpoena, deposition, civil investigative demand or applicable law, the Party subject to such request or requirement may disclose to the extent so requested or required but shall promptly notify the other Party, prior to such disclosure, </w:t>
            </w:r>
            <w:r w:rsidR="0062445A" w:rsidRPr="003E7FFC">
              <w:rPr>
                <w:sz w:val="20"/>
              </w:rPr>
              <w:t xml:space="preserve">unless  such request is received from a self-regulatory body or authority, in which case prior notice shall not be required, </w:t>
            </w:r>
            <w:r w:rsidR="00605E58" w:rsidRPr="003E7FFC">
              <w:rPr>
                <w:sz w:val="20"/>
              </w:rPr>
              <w:t>if such Party</w:t>
            </w:r>
            <w:r>
              <w:rPr>
                <w:sz w:val="20"/>
              </w:rPr>
              <w:t>’</w:t>
            </w:r>
            <w:r w:rsidR="00605E58" w:rsidRPr="003E7FFC">
              <w:rPr>
                <w:sz w:val="20"/>
              </w:rPr>
              <w:t>s counsel determines that such notice is permitted by law, so that the other Party may seek an appropriate protective order or waive compliance with the provisions of this Section 10.11</w:t>
            </w:r>
            <w:r w:rsidR="002B35C9">
              <w:rPr>
                <w:sz w:val="20"/>
              </w:rPr>
              <w:t xml:space="preserve">.  </w:t>
            </w:r>
            <w:r w:rsidR="00605E58" w:rsidRPr="003E7FFC">
              <w:rPr>
                <w:sz w:val="20"/>
              </w:rPr>
              <w:t>Failing the entry of a protective order or the receipt of a waiver hereunder, that Party may disclose that portion of the Confidential Information as requested or required</w:t>
            </w:r>
            <w:r w:rsidR="002B35C9">
              <w:rPr>
                <w:sz w:val="20"/>
              </w:rPr>
              <w:t xml:space="preserve">.  </w:t>
            </w:r>
            <w:r w:rsidR="00605E58" w:rsidRPr="003E7FFC">
              <w:rPr>
                <w:sz w:val="20"/>
              </w:rPr>
              <w:t xml:space="preserve">In any event, a Party will not oppose action by the other to obtain an appropriate protective order or other reliable assurance that confidential treatment will be accorded the Confidential Information; </w:t>
            </w:r>
            <w:r w:rsidR="000F2E54" w:rsidRPr="003E7FFC">
              <w:rPr>
                <w:sz w:val="20"/>
              </w:rPr>
              <w:t>provided, however, each Party shall, to the extent practicable, use reasonable efforts to prevent or limit the disclosure</w:t>
            </w:r>
            <w:r w:rsidR="002B35C9">
              <w:rPr>
                <w:sz w:val="20"/>
              </w:rPr>
              <w:t xml:space="preserve">.  </w:t>
            </w:r>
            <w:r w:rsidR="000F2E54" w:rsidRPr="003E7FFC">
              <w:rPr>
                <w:sz w:val="20"/>
              </w:rPr>
              <w:t xml:space="preserve">Each Party shall be liable for breach of any confidentiality obligation pursuant to this Master Agreement by </w:t>
            </w:r>
            <w:r w:rsidR="000F2E54" w:rsidRPr="003E7FFC">
              <w:rPr>
                <w:sz w:val="20"/>
              </w:rPr>
              <w:lastRenderedPageBreak/>
              <w:t>such Representatives</w:t>
            </w:r>
            <w:r w:rsidR="002B35C9">
              <w:rPr>
                <w:sz w:val="20"/>
              </w:rPr>
              <w:t xml:space="preserve">.  </w:t>
            </w:r>
            <w:r w:rsidR="000F2E54" w:rsidRPr="003E7FFC">
              <w:rPr>
                <w:sz w:val="20"/>
              </w:rPr>
              <w:t>The Parties shall be entitled to all remedies available at law or in equity to enforce, or seek relief in connection with, this confidentiality obligation</w:t>
            </w:r>
            <w:r w:rsidR="002B35C9">
              <w:rPr>
                <w:i/>
                <w:sz w:val="20"/>
              </w:rPr>
              <w:t xml:space="preserve">.  </w:t>
            </w:r>
            <w:r w:rsidR="000F2E54" w:rsidRPr="003E7FFC">
              <w:rPr>
                <w:sz w:val="20"/>
              </w:rPr>
              <w:t>The Parties shall maintain the confidentiality of the terms of all Transactions in compliance with section 16-111.5(h) of the Illinois Public Utilities Act (220 ILCS</w:t>
            </w:r>
            <w:r w:rsidR="000F2E54" w:rsidRPr="003E7FFC">
              <w:rPr>
                <w:i/>
                <w:sz w:val="20"/>
              </w:rPr>
              <w:t xml:space="preserve"> </w:t>
            </w:r>
            <w:r w:rsidR="000F2E54" w:rsidRPr="003E7FFC">
              <w:rPr>
                <w:sz w:val="20"/>
              </w:rPr>
              <w:t>5/16-111.5(h))</w:t>
            </w:r>
            <w:r w:rsidR="002B35C9">
              <w:rPr>
                <w:i/>
                <w:sz w:val="20"/>
              </w:rPr>
              <w:t xml:space="preserve">.  </w:t>
            </w:r>
          </w:p>
          <w:p w:rsidR="007130CD" w:rsidRPr="00DC6A71" w:rsidRDefault="00E16006" w:rsidP="00DC6A71">
            <w:pPr>
              <w:spacing w:after="240"/>
              <w:jc w:val="both"/>
              <w:rPr>
                <w:snapToGrid w:val="0"/>
                <w:sz w:val="20"/>
              </w:rPr>
            </w:pPr>
            <w:r w:rsidRPr="003E7FFC">
              <w:rPr>
                <w:snapToGrid w:val="0"/>
                <w:sz w:val="20"/>
              </w:rPr>
              <w:t>Any financial statements provided by the Parties pursuant to Section 8.1(a) and Section 8.2(a) of this Agreement</w:t>
            </w:r>
            <w:r w:rsidR="00341768" w:rsidRPr="003E7FFC">
              <w:rPr>
                <w:snapToGrid w:val="0"/>
                <w:sz w:val="20"/>
              </w:rPr>
              <w:t>, if not publicly available,</w:t>
            </w:r>
            <w:r w:rsidRPr="003E7FFC">
              <w:rPr>
                <w:snapToGrid w:val="0"/>
                <w:sz w:val="20"/>
              </w:rPr>
              <w:t xml:space="preserve"> shall be deemed confidential information subject to the non-disclosure</w:t>
            </w:r>
            <w:r w:rsidR="00F85DC5" w:rsidRPr="003E7FFC">
              <w:rPr>
                <w:snapToGrid w:val="0"/>
                <w:sz w:val="20"/>
              </w:rPr>
              <w:t xml:space="preserve"> obligations in this paragraph.</w:t>
            </w:r>
            <w:r w:rsidR="00A34C9E">
              <w:rPr>
                <w:snapToGrid w:val="0"/>
                <w:sz w:val="20"/>
              </w:rPr>
              <w:t>”</w:t>
            </w:r>
            <w:r w:rsidRPr="003E7FFC">
              <w:rPr>
                <w:snapToGrid w:val="0"/>
                <w:sz w:val="20"/>
              </w:rPr>
              <w:t xml:space="preserve"> </w:t>
            </w:r>
          </w:p>
          <w:p w:rsidR="00605E58" w:rsidRPr="003E7FFC" w:rsidRDefault="002C6E3D" w:rsidP="00DC6A71">
            <w:pPr>
              <w:pStyle w:val="BodyText"/>
              <w:spacing w:after="240"/>
              <w:jc w:val="both"/>
              <w:rPr>
                <w:b/>
                <w:bCs/>
                <w:sz w:val="20"/>
              </w:rPr>
            </w:pPr>
            <w:r>
              <w:rPr>
                <w:b/>
                <w:bCs/>
                <w:sz w:val="20"/>
              </w:rPr>
              <w:t>32</w:t>
            </w:r>
            <w:r w:rsidR="002B35C9">
              <w:rPr>
                <w:b/>
                <w:bCs/>
                <w:sz w:val="20"/>
              </w:rPr>
              <w:t xml:space="preserve">.  </w:t>
            </w:r>
            <w:r w:rsidR="00605E58" w:rsidRPr="003E7FFC">
              <w:rPr>
                <w:b/>
                <w:bCs/>
                <w:sz w:val="20"/>
              </w:rPr>
              <w:t>Section 10.13</w:t>
            </w:r>
            <w:r w:rsidR="004E0826" w:rsidRPr="003E7FFC">
              <w:rPr>
                <w:sz w:val="20"/>
              </w:rPr>
              <w:t>—</w:t>
            </w:r>
            <w:r w:rsidR="00605E58" w:rsidRPr="003E7FFC">
              <w:rPr>
                <w:b/>
                <w:bCs/>
                <w:sz w:val="20"/>
              </w:rPr>
              <w:t>Electronic Imaged Documents</w:t>
            </w:r>
          </w:p>
          <w:p w:rsidR="00605E58" w:rsidRPr="003E7FFC" w:rsidRDefault="00605E58" w:rsidP="00DC6A71">
            <w:pPr>
              <w:pStyle w:val="BodyTextIndent20"/>
              <w:spacing w:after="240"/>
              <w:ind w:left="18"/>
              <w:jc w:val="both"/>
            </w:pPr>
            <w:r w:rsidRPr="003E7FFC">
              <w:t>The following is added to the Agreement as Section 10.13:</w:t>
            </w:r>
          </w:p>
          <w:p w:rsidR="00605E58" w:rsidRPr="00DC6A71" w:rsidRDefault="00A34C9E" w:rsidP="00DC6A71">
            <w:pPr>
              <w:pStyle w:val="BodyTextIndent20"/>
              <w:spacing w:after="240"/>
              <w:ind w:left="18"/>
              <w:jc w:val="both"/>
            </w:pPr>
            <w:r>
              <w:t>“</w:t>
            </w:r>
            <w:proofErr w:type="gramStart"/>
            <w:r w:rsidR="00605E58" w:rsidRPr="003E7FFC">
              <w:t>10.13  Electronic</w:t>
            </w:r>
            <w:proofErr w:type="gramEnd"/>
            <w:r w:rsidR="00605E58" w:rsidRPr="003E7FFC">
              <w:t xml:space="preserve"> Imaged Documents</w:t>
            </w:r>
            <w:r w:rsidR="002B35C9">
              <w:t xml:space="preserve">.  </w:t>
            </w:r>
            <w:r w:rsidR="00605E58" w:rsidRPr="003E7FFC">
              <w:t xml:space="preserve">Any original executed Agreement, Confirmation or other related document may be photocopied and stored on computer tapes and disks (an </w:t>
            </w:r>
            <w:r>
              <w:t>“</w:t>
            </w:r>
            <w:r w:rsidR="00605E58" w:rsidRPr="003E7FFC">
              <w:t>Imaged Agreement</w:t>
            </w:r>
            <w:r>
              <w:t>”</w:t>
            </w:r>
            <w:r w:rsidR="00605E58" w:rsidRPr="003E7FFC">
              <w:t>)</w:t>
            </w:r>
            <w:r w:rsidR="002B35C9">
              <w:t xml:space="preserve">.  </w:t>
            </w:r>
            <w:r w:rsidR="00605E58" w:rsidRPr="003E7FFC">
              <w:t>Any Imaged Agreement, if introduced as evidence on paper, and all computer records, if introduced as evidence in printed format, in any judicial, arbitration, mediation or administrative proceedings, will be admissible as between the Parties to the same extent and under the same conditions as other business records originated and maintained in documentary form</w:t>
            </w:r>
            <w:r w:rsidR="002B35C9">
              <w:t xml:space="preserve">.  </w:t>
            </w:r>
            <w:r w:rsidR="00605E58" w:rsidRPr="003E7FFC">
              <w:t>Neither Party shall object to the admissibility of the Confirmation or the Imaged Agreement (or photocopies of the Confirmation or the Imaged Agreement) on the basis that such were not originated or maintained in documentary form under the hearsay rule, the best evidence rule or other rule of evidence.</w:t>
            </w:r>
            <w:r>
              <w:t>”</w:t>
            </w:r>
            <w:r w:rsidR="00605E58" w:rsidRPr="003E7FFC">
              <w:t xml:space="preserve"> </w:t>
            </w:r>
          </w:p>
          <w:p w:rsidR="007130CD" w:rsidRPr="003E7FFC" w:rsidRDefault="002C6E3D" w:rsidP="00DC6A71">
            <w:pPr>
              <w:pStyle w:val="BodyText"/>
              <w:spacing w:after="240"/>
              <w:jc w:val="both"/>
              <w:rPr>
                <w:b/>
                <w:bCs/>
                <w:sz w:val="20"/>
              </w:rPr>
            </w:pPr>
            <w:r>
              <w:rPr>
                <w:b/>
                <w:bCs/>
                <w:sz w:val="20"/>
              </w:rPr>
              <w:t>33</w:t>
            </w:r>
            <w:r w:rsidR="002B35C9">
              <w:rPr>
                <w:b/>
                <w:bCs/>
                <w:sz w:val="20"/>
              </w:rPr>
              <w:t xml:space="preserve">.  </w:t>
            </w:r>
            <w:r w:rsidR="007130CD" w:rsidRPr="003E7FFC">
              <w:rPr>
                <w:b/>
                <w:bCs/>
                <w:sz w:val="20"/>
              </w:rPr>
              <w:t>Article 10:  Miscellaneous</w:t>
            </w:r>
          </w:p>
          <w:p w:rsidR="00C22767" w:rsidRPr="003E7FFC" w:rsidRDefault="007130CD" w:rsidP="00DC6A71">
            <w:pPr>
              <w:spacing w:after="240"/>
              <w:jc w:val="both"/>
              <w:rPr>
                <w:sz w:val="20"/>
              </w:rPr>
            </w:pPr>
            <w:r w:rsidRPr="003E7FFC">
              <w:rPr>
                <w:sz w:val="20"/>
              </w:rPr>
              <w:t xml:space="preserve">The following is added to the Agreement as Section 10.12: </w:t>
            </w:r>
            <w:r w:rsidRPr="003E7FFC">
              <w:rPr>
                <w:sz w:val="20"/>
                <w:u w:val="single"/>
              </w:rPr>
              <w:t>FERC Standard of Review; Mobile-Sierra Waiver</w:t>
            </w:r>
            <w:r w:rsidRPr="003E7FFC">
              <w:rPr>
                <w:sz w:val="20"/>
              </w:rPr>
              <w:t>.</w:t>
            </w:r>
          </w:p>
          <w:p w:rsidR="008D6377" w:rsidRPr="003E7FFC" w:rsidRDefault="00C22767" w:rsidP="00DC6A71">
            <w:pPr>
              <w:spacing w:after="240"/>
              <w:ind w:left="720"/>
              <w:jc w:val="both"/>
              <w:rPr>
                <w:sz w:val="20"/>
              </w:rPr>
            </w:pPr>
            <w:r w:rsidRPr="003E7FFC">
              <w:rPr>
                <w:sz w:val="20"/>
              </w:rPr>
              <w:t>(a)</w:t>
            </w:r>
            <w:r w:rsidRPr="003E7FFC">
              <w:rPr>
                <w:sz w:val="20"/>
              </w:rPr>
              <w:tab/>
              <w:t xml:space="preserve">Absent the agreement of all Parties to the proposed change, the standard of review for changes to any rate, charge, classification, term or condition of this Agreement, whether proposed by a Party (to the extent that any waiver in subsection (b) below is unenforceable or ineffective as to such Party), a non-party or FERC acting </w:t>
            </w:r>
            <w:proofErr w:type="spellStart"/>
            <w:r w:rsidR="00176AAC" w:rsidRPr="00176AAC">
              <w:rPr>
                <w:i/>
                <w:sz w:val="20"/>
              </w:rPr>
              <w:t>sua</w:t>
            </w:r>
            <w:proofErr w:type="spellEnd"/>
            <w:r w:rsidR="00176AAC" w:rsidRPr="00176AAC">
              <w:rPr>
                <w:i/>
                <w:sz w:val="20"/>
              </w:rPr>
              <w:t xml:space="preserve"> sponte</w:t>
            </w:r>
            <w:r w:rsidRPr="003E7FFC">
              <w:rPr>
                <w:sz w:val="20"/>
              </w:rPr>
              <w:t>, shall be solely the most strict standard set forth in United Gas Pipe Line Co</w:t>
            </w:r>
            <w:r w:rsidR="002B35C9">
              <w:rPr>
                <w:sz w:val="20"/>
              </w:rPr>
              <w:t xml:space="preserve">.  </w:t>
            </w:r>
            <w:r w:rsidRPr="003E7FFC">
              <w:rPr>
                <w:sz w:val="20"/>
              </w:rPr>
              <w:t>v</w:t>
            </w:r>
            <w:r w:rsidR="002B35C9">
              <w:rPr>
                <w:sz w:val="20"/>
              </w:rPr>
              <w:t xml:space="preserve">.  </w:t>
            </w:r>
            <w:r w:rsidRPr="003E7FFC">
              <w:rPr>
                <w:sz w:val="20"/>
              </w:rPr>
              <w:t>Mobile Gas Service Corp., 350 U.S</w:t>
            </w:r>
            <w:r w:rsidR="002B35C9">
              <w:rPr>
                <w:sz w:val="20"/>
              </w:rPr>
              <w:t xml:space="preserve">.  </w:t>
            </w:r>
            <w:r w:rsidRPr="003E7FFC">
              <w:rPr>
                <w:sz w:val="20"/>
              </w:rPr>
              <w:t>332 (1956) and Federal Power Commission v</w:t>
            </w:r>
            <w:r w:rsidR="002B35C9">
              <w:rPr>
                <w:sz w:val="20"/>
              </w:rPr>
              <w:t xml:space="preserve">.  </w:t>
            </w:r>
            <w:r w:rsidRPr="003E7FFC">
              <w:rPr>
                <w:sz w:val="20"/>
              </w:rPr>
              <w:t>Sierra Pacific Power Co., 350 U.S</w:t>
            </w:r>
            <w:r w:rsidR="002B35C9">
              <w:rPr>
                <w:sz w:val="20"/>
              </w:rPr>
              <w:t xml:space="preserve">.  </w:t>
            </w:r>
            <w:r w:rsidRPr="003E7FFC">
              <w:rPr>
                <w:sz w:val="20"/>
              </w:rPr>
              <w:t>348 (1956) and clarified by Morgan Stanley Capital Group, Inc</w:t>
            </w:r>
            <w:r w:rsidR="002B35C9">
              <w:rPr>
                <w:sz w:val="20"/>
              </w:rPr>
              <w:t xml:space="preserve">.  </w:t>
            </w:r>
            <w:r w:rsidRPr="003E7FFC">
              <w:rPr>
                <w:sz w:val="20"/>
              </w:rPr>
              <w:t>v</w:t>
            </w:r>
            <w:r w:rsidR="002B35C9">
              <w:rPr>
                <w:sz w:val="20"/>
              </w:rPr>
              <w:t xml:space="preserve">.  </w:t>
            </w:r>
            <w:r w:rsidRPr="003E7FFC">
              <w:rPr>
                <w:sz w:val="20"/>
              </w:rPr>
              <w:t>Public Util</w:t>
            </w:r>
            <w:r w:rsidR="002B35C9">
              <w:rPr>
                <w:sz w:val="20"/>
              </w:rPr>
              <w:t xml:space="preserve">.  </w:t>
            </w:r>
            <w:r w:rsidRPr="003E7FFC">
              <w:rPr>
                <w:sz w:val="20"/>
              </w:rPr>
              <w:t>Dist</w:t>
            </w:r>
            <w:r w:rsidR="002B35C9">
              <w:rPr>
                <w:sz w:val="20"/>
              </w:rPr>
              <w:t xml:space="preserve">.  </w:t>
            </w:r>
            <w:r w:rsidRPr="003E7FFC">
              <w:rPr>
                <w:sz w:val="20"/>
              </w:rPr>
              <w:t>No</w:t>
            </w:r>
            <w:r w:rsidR="002B35C9">
              <w:rPr>
                <w:sz w:val="20"/>
              </w:rPr>
              <w:t xml:space="preserve">.  </w:t>
            </w:r>
            <w:r w:rsidRPr="003E7FFC">
              <w:rPr>
                <w:sz w:val="20"/>
              </w:rPr>
              <w:t>1 of Snohomish 554 U.S</w:t>
            </w:r>
            <w:r w:rsidR="002B35C9">
              <w:rPr>
                <w:sz w:val="20"/>
              </w:rPr>
              <w:t xml:space="preserve">.  </w:t>
            </w:r>
            <w:r w:rsidRPr="003E7FFC">
              <w:rPr>
                <w:sz w:val="20"/>
              </w:rPr>
              <w:t>527 (2008) and further, refined in NRG Power Marketing v</w:t>
            </w:r>
            <w:r w:rsidR="002B35C9">
              <w:rPr>
                <w:sz w:val="20"/>
              </w:rPr>
              <w:t xml:space="preserve">.  </w:t>
            </w:r>
            <w:r w:rsidRPr="003E7FFC">
              <w:rPr>
                <w:sz w:val="20"/>
              </w:rPr>
              <w:t>Maine Public Utilities Commission, 558 U.S</w:t>
            </w:r>
            <w:r w:rsidR="002B35C9">
              <w:rPr>
                <w:sz w:val="20"/>
              </w:rPr>
              <w:t xml:space="preserve">.  </w:t>
            </w:r>
            <w:proofErr w:type="gramStart"/>
            <w:r w:rsidRPr="003E7FFC">
              <w:rPr>
                <w:sz w:val="20"/>
              </w:rPr>
              <w:t>165  (</w:t>
            </w:r>
            <w:proofErr w:type="gramEnd"/>
            <w:r w:rsidRPr="003E7FFC">
              <w:rPr>
                <w:sz w:val="20"/>
              </w:rPr>
              <w:t xml:space="preserve">2010) ( the </w:t>
            </w:r>
            <w:r w:rsidR="00A34C9E">
              <w:rPr>
                <w:sz w:val="20"/>
              </w:rPr>
              <w:t>“</w:t>
            </w:r>
            <w:r w:rsidRPr="003E7FFC">
              <w:rPr>
                <w:sz w:val="20"/>
              </w:rPr>
              <w:t>Mobile-Sierra</w:t>
            </w:r>
            <w:r w:rsidR="00A34C9E">
              <w:rPr>
                <w:sz w:val="20"/>
              </w:rPr>
              <w:t>”</w:t>
            </w:r>
            <w:r w:rsidRPr="003E7FFC">
              <w:rPr>
                <w:sz w:val="20"/>
              </w:rPr>
              <w:t xml:space="preserve"> doctrine)</w:t>
            </w:r>
            <w:r w:rsidR="002B35C9">
              <w:rPr>
                <w:sz w:val="20"/>
              </w:rPr>
              <w:t xml:space="preserve">.  </w:t>
            </w:r>
            <w:r w:rsidRPr="003E7FFC">
              <w:rPr>
                <w:sz w:val="20"/>
              </w:rPr>
              <w:t>The Parties acknowledge that this agreement constitutes a contract rate, and all future proposed changes or challenges will be reviewed pursuant to the public interest application of the just and reasonable standard of review</w:t>
            </w:r>
            <w:r w:rsidR="002B35C9">
              <w:rPr>
                <w:sz w:val="20"/>
              </w:rPr>
              <w:t xml:space="preserve">.  </w:t>
            </w:r>
          </w:p>
          <w:p w:rsidR="007130CD" w:rsidRDefault="008D6377" w:rsidP="00DC6A71">
            <w:pPr>
              <w:spacing w:after="240"/>
              <w:ind w:left="720"/>
              <w:jc w:val="both"/>
              <w:rPr>
                <w:sz w:val="20"/>
              </w:rPr>
            </w:pPr>
            <w:r w:rsidRPr="003E7FFC">
              <w:rPr>
                <w:sz w:val="20"/>
              </w:rPr>
              <w:t>(b)</w:t>
            </w:r>
            <w:r w:rsidRPr="003E7FFC">
              <w:rPr>
                <w:sz w:val="20"/>
              </w:rPr>
              <w:tab/>
              <w:t xml:space="preserve"> In addition, and notwithstanding the foregoing subsection (a), to the fullest extent permitted by applicable law, each Party, for itself and its successors and assigns, hereby expressly and irrevocably waives any rights it can or may have, now or in the future, whether under §§ 205 and/or 206 of the Federal Power Act or otherwise, to seek to obtain from FERC by any means, directly or indirectly (through complaint, investigation or otherwise), and each hereby covenants and agrees not at </w:t>
            </w:r>
            <w:r w:rsidRPr="003E7FFC">
              <w:rPr>
                <w:sz w:val="20"/>
              </w:rPr>
              <w:lastRenderedPageBreak/>
              <w:t>any time to seek to so obtain, an order from FERC changing any section of this Agreement specifying the rate, charge, classification, or other term or condition agreed to by the Parties, it being the express intent of the Parties that, to the fullest extent permitted by applicable law, neither Party shall unilaterally seek to obtain from FERC any relief changing the rate, charge, classification, or other term or condition of this Agreement, notwithstanding any subsequent changes in applicable law or market conditions that may occur</w:t>
            </w:r>
            <w:r w:rsidR="002B35C9">
              <w:rPr>
                <w:sz w:val="20"/>
              </w:rPr>
              <w:t xml:space="preserve">.  </w:t>
            </w:r>
            <w:r w:rsidRPr="003E7FFC">
              <w:rPr>
                <w:sz w:val="20"/>
              </w:rPr>
              <w:t xml:space="preserve">In the event it were to be determined that applicable law precludes the Parties from waiving their rights to seek changes from FERC to their market-based power sales contracts (including entering into covenants not to do so) then this subsection (b) shall not apply, provided that, consistent with the foregoing subsection (a), neither Party shall seek any such changes except solely under the </w:t>
            </w:r>
            <w:r w:rsidR="00A34C9E">
              <w:rPr>
                <w:sz w:val="20"/>
              </w:rPr>
              <w:t>“</w:t>
            </w:r>
            <w:r w:rsidRPr="003E7FFC">
              <w:rPr>
                <w:sz w:val="20"/>
              </w:rPr>
              <w:t>public interest</w:t>
            </w:r>
            <w:r w:rsidR="00A34C9E">
              <w:rPr>
                <w:sz w:val="20"/>
              </w:rPr>
              <w:t>”</w:t>
            </w:r>
            <w:r w:rsidRPr="003E7FFC">
              <w:rPr>
                <w:sz w:val="20"/>
              </w:rPr>
              <w:t xml:space="preserve"> application of the </w:t>
            </w:r>
            <w:r w:rsidR="00A34C9E">
              <w:rPr>
                <w:sz w:val="20"/>
              </w:rPr>
              <w:t>“</w:t>
            </w:r>
            <w:r w:rsidRPr="003E7FFC">
              <w:rPr>
                <w:sz w:val="20"/>
              </w:rPr>
              <w:t>just and reasonable</w:t>
            </w:r>
            <w:r w:rsidR="00A34C9E">
              <w:rPr>
                <w:sz w:val="20"/>
              </w:rPr>
              <w:t>”</w:t>
            </w:r>
            <w:r w:rsidRPr="003E7FFC">
              <w:rPr>
                <w:sz w:val="20"/>
              </w:rPr>
              <w:t xml:space="preserve"> standard of review and otherwise as set forth in the foregoing section (a).</w:t>
            </w:r>
          </w:p>
          <w:p w:rsidR="005C5358" w:rsidRPr="003E7FFC" w:rsidRDefault="005C5358" w:rsidP="005C5358">
            <w:pPr>
              <w:pStyle w:val="BodyText"/>
              <w:spacing w:after="240"/>
              <w:jc w:val="both"/>
              <w:rPr>
                <w:b/>
                <w:bCs/>
                <w:sz w:val="20"/>
              </w:rPr>
            </w:pPr>
            <w:r>
              <w:rPr>
                <w:b/>
                <w:bCs/>
                <w:sz w:val="20"/>
              </w:rPr>
              <w:t xml:space="preserve">34.  </w:t>
            </w:r>
            <w:r w:rsidRPr="003E7FFC">
              <w:rPr>
                <w:b/>
                <w:bCs/>
                <w:sz w:val="20"/>
              </w:rPr>
              <w:t>Article 10:  Miscellaneous</w:t>
            </w:r>
          </w:p>
          <w:p w:rsidR="005C5358" w:rsidRPr="003E7FFC" w:rsidRDefault="005C5358" w:rsidP="005C5358">
            <w:pPr>
              <w:spacing w:after="240"/>
              <w:jc w:val="both"/>
              <w:rPr>
                <w:sz w:val="20"/>
              </w:rPr>
            </w:pPr>
            <w:r w:rsidRPr="003E7FFC">
              <w:rPr>
                <w:sz w:val="20"/>
              </w:rPr>
              <w:t>The following is added to the Agreement as Section 10.1</w:t>
            </w:r>
            <w:r>
              <w:rPr>
                <w:sz w:val="20"/>
              </w:rPr>
              <w:t>4</w:t>
            </w:r>
            <w:r w:rsidRPr="003E7FFC">
              <w:rPr>
                <w:sz w:val="20"/>
              </w:rPr>
              <w:t xml:space="preserve">: </w:t>
            </w:r>
            <w:r>
              <w:rPr>
                <w:sz w:val="20"/>
                <w:u w:val="single"/>
              </w:rPr>
              <w:t>U.S. Stay Protocol</w:t>
            </w:r>
            <w:r w:rsidRPr="003E7FFC">
              <w:rPr>
                <w:sz w:val="20"/>
              </w:rPr>
              <w:t>.</w:t>
            </w:r>
          </w:p>
          <w:p w:rsidR="005C5358" w:rsidRPr="00DC6A71" w:rsidRDefault="005C5358" w:rsidP="005C5358">
            <w:pPr>
              <w:spacing w:after="240"/>
              <w:jc w:val="both"/>
              <w:rPr>
                <w:sz w:val="20"/>
              </w:rPr>
            </w:pPr>
            <w:r w:rsidRPr="004312CF">
              <w:rPr>
                <w:sz w:val="20"/>
                <w:szCs w:val="22"/>
              </w:rPr>
              <w:t xml:space="preserve">The Parties may, by mutual agreement, execute the Supplement attached hereto for purposes of incorporating the </w:t>
            </w:r>
            <w:r w:rsidR="001A76D6">
              <w:rPr>
                <w:sz w:val="20"/>
                <w:szCs w:val="22"/>
              </w:rPr>
              <w:t xml:space="preserve">International </w:t>
            </w:r>
            <w:r w:rsidRPr="004312CF">
              <w:rPr>
                <w:rFonts w:cs="Arial"/>
                <w:sz w:val="20"/>
                <w:szCs w:val="22"/>
              </w:rPr>
              <w:t>Swaps and Derivatives Association 2018 U.S. Resolution Stay Protocol into this Agreement.</w:t>
            </w:r>
          </w:p>
          <w:p w:rsidR="00C87B27" w:rsidRPr="00666404" w:rsidRDefault="007130CD" w:rsidP="00DC6A71">
            <w:pPr>
              <w:pStyle w:val="BodyTextIndent20"/>
              <w:spacing w:after="240"/>
              <w:ind w:left="0"/>
              <w:jc w:val="both"/>
              <w:rPr>
                <w:b/>
              </w:rPr>
            </w:pPr>
            <w:r w:rsidRPr="00666404">
              <w:rPr>
                <w:b/>
              </w:rPr>
              <w:t>B</w:t>
            </w:r>
            <w:r w:rsidR="002B35C9" w:rsidRPr="00666404">
              <w:rPr>
                <w:b/>
              </w:rPr>
              <w:t xml:space="preserve">.  </w:t>
            </w:r>
            <w:r w:rsidRPr="00666404">
              <w:rPr>
                <w:b/>
              </w:rPr>
              <w:t>The Collateral Annex is hereby amended as follows:</w:t>
            </w:r>
          </w:p>
          <w:p w:rsidR="007130CD" w:rsidRPr="003E7FFC" w:rsidRDefault="007130CD" w:rsidP="00DC6A71">
            <w:pPr>
              <w:pStyle w:val="BodyTextIndent20"/>
              <w:spacing w:after="240"/>
              <w:ind w:left="0"/>
              <w:jc w:val="both"/>
              <w:rPr>
                <w:b/>
              </w:rPr>
            </w:pPr>
            <w:r w:rsidRPr="003E7FFC">
              <w:rPr>
                <w:b/>
              </w:rPr>
              <w:t>1</w:t>
            </w:r>
            <w:r w:rsidR="002B35C9">
              <w:rPr>
                <w:b/>
              </w:rPr>
              <w:t xml:space="preserve">.  </w:t>
            </w:r>
            <w:r w:rsidRPr="003E7FFC">
              <w:rPr>
                <w:b/>
              </w:rPr>
              <w:t>Introductory Paragraph</w:t>
            </w:r>
          </w:p>
          <w:p w:rsidR="006E6AD8" w:rsidRPr="003E7FFC" w:rsidRDefault="007130CD" w:rsidP="00DC6A71">
            <w:pPr>
              <w:pStyle w:val="BodyTextIndent20"/>
              <w:spacing w:after="240"/>
              <w:ind w:left="0"/>
              <w:jc w:val="both"/>
              <w:rPr>
                <w:bCs/>
              </w:rPr>
            </w:pPr>
            <w:r w:rsidRPr="003E7FFC">
              <w:rPr>
                <w:bCs/>
              </w:rPr>
              <w:t xml:space="preserve">Delete </w:t>
            </w:r>
            <w:r w:rsidR="00A34C9E">
              <w:rPr>
                <w:bCs/>
              </w:rPr>
              <w:t>“</w:t>
            </w:r>
            <w:r w:rsidRPr="003E7FFC">
              <w:rPr>
                <w:bCs/>
              </w:rPr>
              <w:t>Paragraph 10 Elections</w:t>
            </w:r>
            <w:r w:rsidR="00A34C9E">
              <w:rPr>
                <w:bCs/>
              </w:rPr>
              <w:t>”</w:t>
            </w:r>
            <w:r w:rsidRPr="003E7FFC">
              <w:rPr>
                <w:bCs/>
              </w:rPr>
              <w:t xml:space="preserve"> and replace it with </w:t>
            </w:r>
            <w:r w:rsidR="00A34C9E">
              <w:rPr>
                <w:bCs/>
              </w:rPr>
              <w:t>“</w:t>
            </w:r>
            <w:r w:rsidRPr="003E7FFC">
              <w:rPr>
                <w:bCs/>
              </w:rPr>
              <w:t>Paragraph 10 Cover Sheet</w:t>
            </w:r>
            <w:r w:rsidR="00A34C9E">
              <w:rPr>
                <w:bCs/>
              </w:rPr>
              <w:t>”</w:t>
            </w:r>
            <w:r w:rsidRPr="003E7FFC">
              <w:rPr>
                <w:bCs/>
              </w:rPr>
              <w:t>.</w:t>
            </w:r>
          </w:p>
          <w:p w:rsidR="007130CD" w:rsidRPr="00DC6A71" w:rsidRDefault="006E6AD8" w:rsidP="00DC6A71">
            <w:pPr>
              <w:pStyle w:val="BodyTextIndent20"/>
              <w:spacing w:after="240"/>
              <w:ind w:left="0"/>
              <w:jc w:val="both"/>
              <w:rPr>
                <w:bCs/>
              </w:rPr>
            </w:pPr>
            <w:r w:rsidRPr="003E7FFC">
              <w:rPr>
                <w:bCs/>
              </w:rPr>
              <w:t xml:space="preserve">Place a period after the word </w:t>
            </w:r>
            <w:r w:rsidR="00A34C9E">
              <w:rPr>
                <w:bCs/>
              </w:rPr>
              <w:t>“</w:t>
            </w:r>
            <w:r w:rsidRPr="003E7FFC">
              <w:rPr>
                <w:bCs/>
              </w:rPr>
              <w:t>Agreement</w:t>
            </w:r>
            <w:r w:rsidR="00A34C9E">
              <w:rPr>
                <w:bCs/>
              </w:rPr>
              <w:t>”</w:t>
            </w:r>
            <w:r w:rsidRPr="003E7FFC">
              <w:rPr>
                <w:bCs/>
              </w:rPr>
              <w:t xml:space="preserve"> in the third line and delete the remainder of the sentence.</w:t>
            </w:r>
          </w:p>
          <w:p w:rsidR="007130CD" w:rsidRPr="003E7FFC" w:rsidRDefault="007130CD" w:rsidP="00DC6A71">
            <w:pPr>
              <w:pStyle w:val="BodyTextIndent20"/>
              <w:spacing w:after="240"/>
              <w:ind w:left="0"/>
              <w:jc w:val="both"/>
              <w:rPr>
                <w:b/>
                <w:bCs/>
                <w:u w:val="single"/>
              </w:rPr>
            </w:pPr>
            <w:r w:rsidRPr="003E7FFC">
              <w:rPr>
                <w:b/>
                <w:bCs/>
              </w:rPr>
              <w:t>2</w:t>
            </w:r>
            <w:r w:rsidR="002B35C9">
              <w:rPr>
                <w:b/>
                <w:bCs/>
              </w:rPr>
              <w:t xml:space="preserve">.  </w:t>
            </w:r>
            <w:r w:rsidRPr="003E7FFC">
              <w:rPr>
                <w:b/>
                <w:bCs/>
              </w:rPr>
              <w:t>Paragraph 1</w:t>
            </w:r>
            <w:r w:rsidR="002B35C9">
              <w:rPr>
                <w:b/>
                <w:bCs/>
              </w:rPr>
              <w:t xml:space="preserve">.  </w:t>
            </w:r>
            <w:r w:rsidRPr="003E7FFC">
              <w:rPr>
                <w:b/>
                <w:bCs/>
                <w:u w:val="single"/>
              </w:rPr>
              <w:t>Definitions</w:t>
            </w:r>
          </w:p>
          <w:p w:rsidR="007130CD" w:rsidRPr="003E7FFC" w:rsidRDefault="007130CD" w:rsidP="00DC6A71">
            <w:pPr>
              <w:pStyle w:val="Heading1"/>
              <w:numPr>
                <w:ilvl w:val="0"/>
                <w:numId w:val="0"/>
              </w:numPr>
              <w:jc w:val="both"/>
              <w:rPr>
                <w:b w:val="0"/>
                <w:sz w:val="20"/>
              </w:rPr>
            </w:pPr>
            <w:r w:rsidRPr="003E7FFC">
              <w:rPr>
                <w:b w:val="0"/>
                <w:sz w:val="20"/>
              </w:rPr>
              <w:t xml:space="preserve">The following definition for </w:t>
            </w:r>
            <w:r w:rsidR="00A34C9E">
              <w:rPr>
                <w:b w:val="0"/>
                <w:sz w:val="20"/>
              </w:rPr>
              <w:t>“</w:t>
            </w:r>
            <w:r w:rsidRPr="003E7FFC">
              <w:rPr>
                <w:b w:val="0"/>
                <w:sz w:val="20"/>
              </w:rPr>
              <w:t>Amerex</w:t>
            </w:r>
            <w:r w:rsidR="00A34C9E">
              <w:rPr>
                <w:b w:val="0"/>
                <w:sz w:val="20"/>
              </w:rPr>
              <w:t>”</w:t>
            </w:r>
            <w:r w:rsidRPr="003E7FFC">
              <w:rPr>
                <w:b w:val="0"/>
                <w:sz w:val="20"/>
              </w:rPr>
              <w:t xml:space="preserve"> is added as follows:</w:t>
            </w:r>
          </w:p>
          <w:p w:rsidR="00521245" w:rsidRPr="00DC6A71" w:rsidRDefault="00A34C9E" w:rsidP="00DC6A71">
            <w:pPr>
              <w:pStyle w:val="Heading1"/>
              <w:numPr>
                <w:ilvl w:val="0"/>
                <w:numId w:val="0"/>
              </w:numPr>
              <w:ind w:left="720"/>
              <w:jc w:val="both"/>
              <w:rPr>
                <w:b w:val="0"/>
                <w:bCs/>
                <w:sz w:val="20"/>
              </w:rPr>
            </w:pPr>
            <w:r>
              <w:rPr>
                <w:sz w:val="20"/>
              </w:rPr>
              <w:t>“</w:t>
            </w:r>
            <w:r w:rsidR="007130CD" w:rsidRPr="003E7FFC">
              <w:rPr>
                <w:sz w:val="20"/>
                <w:u w:val="single"/>
              </w:rPr>
              <w:t>Amerex</w:t>
            </w:r>
            <w:r>
              <w:rPr>
                <w:sz w:val="20"/>
              </w:rPr>
              <w:t>”</w:t>
            </w:r>
            <w:r w:rsidR="007130CD" w:rsidRPr="003E7FFC">
              <w:rPr>
                <w:sz w:val="20"/>
              </w:rPr>
              <w:t xml:space="preserve"> </w:t>
            </w:r>
            <w:r w:rsidR="007130CD" w:rsidRPr="003E7FFC">
              <w:rPr>
                <w:b w:val="0"/>
                <w:bCs/>
                <w:sz w:val="20"/>
              </w:rPr>
              <w:t>means Amerex Brokers LLC.</w:t>
            </w:r>
          </w:p>
          <w:p w:rsidR="007130CD" w:rsidRPr="003E7FFC" w:rsidRDefault="007130CD" w:rsidP="00DC6A71">
            <w:pPr>
              <w:pStyle w:val="Heading1"/>
              <w:numPr>
                <w:ilvl w:val="0"/>
                <w:numId w:val="0"/>
              </w:numPr>
              <w:jc w:val="both"/>
              <w:rPr>
                <w:b w:val="0"/>
                <w:sz w:val="20"/>
              </w:rPr>
            </w:pPr>
            <w:r w:rsidRPr="003E7FFC">
              <w:rPr>
                <w:b w:val="0"/>
                <w:sz w:val="20"/>
              </w:rPr>
              <w:t xml:space="preserve">The following definition for </w:t>
            </w:r>
            <w:r w:rsidR="00A34C9E">
              <w:rPr>
                <w:b w:val="0"/>
                <w:sz w:val="20"/>
              </w:rPr>
              <w:t>“</w:t>
            </w:r>
            <w:r w:rsidRPr="003E7FFC">
              <w:rPr>
                <w:b w:val="0"/>
                <w:sz w:val="20"/>
              </w:rPr>
              <w:t>Brokers</w:t>
            </w:r>
            <w:r w:rsidR="00A34C9E">
              <w:rPr>
                <w:b w:val="0"/>
                <w:sz w:val="20"/>
              </w:rPr>
              <w:t>”</w:t>
            </w:r>
            <w:r w:rsidRPr="003E7FFC">
              <w:rPr>
                <w:b w:val="0"/>
                <w:sz w:val="20"/>
              </w:rPr>
              <w:t xml:space="preserve"> is added as follows:</w:t>
            </w:r>
          </w:p>
          <w:p w:rsidR="00521245" w:rsidRPr="00DC6A71" w:rsidRDefault="00A34C9E" w:rsidP="00DC6A71">
            <w:pPr>
              <w:pStyle w:val="Heading1"/>
              <w:numPr>
                <w:ilvl w:val="0"/>
                <w:numId w:val="0"/>
              </w:numPr>
              <w:ind w:left="720"/>
              <w:jc w:val="both"/>
              <w:rPr>
                <w:b w:val="0"/>
                <w:kern w:val="0"/>
                <w:sz w:val="20"/>
              </w:rPr>
            </w:pPr>
            <w:r>
              <w:rPr>
                <w:b w:val="0"/>
                <w:kern w:val="0"/>
                <w:sz w:val="20"/>
              </w:rPr>
              <w:t>“</w:t>
            </w:r>
            <w:r w:rsidR="007130CD" w:rsidRPr="003E7FFC">
              <w:rPr>
                <w:kern w:val="0"/>
                <w:sz w:val="20"/>
                <w:u w:val="single"/>
              </w:rPr>
              <w:t>Brokers</w:t>
            </w:r>
            <w:r>
              <w:rPr>
                <w:b w:val="0"/>
                <w:kern w:val="0"/>
                <w:sz w:val="20"/>
              </w:rPr>
              <w:t>”</w:t>
            </w:r>
            <w:r w:rsidR="007130CD" w:rsidRPr="003E7FFC">
              <w:rPr>
                <w:b w:val="0"/>
                <w:kern w:val="0"/>
                <w:sz w:val="20"/>
              </w:rPr>
              <w:t xml:space="preserve"> means ICAP, NYMEX, Amerex, and/or </w:t>
            </w:r>
            <w:r w:rsidR="00C037F5" w:rsidRPr="003E7FFC">
              <w:rPr>
                <w:b w:val="0"/>
                <w:kern w:val="0"/>
                <w:sz w:val="20"/>
              </w:rPr>
              <w:t xml:space="preserve">their replacement </w:t>
            </w:r>
            <w:r w:rsidR="00F21AD8" w:rsidRPr="003E7FFC">
              <w:rPr>
                <w:b w:val="0"/>
                <w:kern w:val="0"/>
                <w:sz w:val="20"/>
              </w:rPr>
              <w:t>as provided for in Schedule 3 to the Collateral Annex,</w:t>
            </w:r>
            <w:r w:rsidR="00C037F5" w:rsidRPr="003E7FFC">
              <w:rPr>
                <w:b w:val="0"/>
                <w:kern w:val="0"/>
                <w:sz w:val="20"/>
              </w:rPr>
              <w:t xml:space="preserve"> </w:t>
            </w:r>
            <w:r w:rsidR="003237DC" w:rsidRPr="003E7FFC">
              <w:rPr>
                <w:b w:val="0"/>
                <w:kern w:val="0"/>
                <w:sz w:val="20"/>
              </w:rPr>
              <w:t>or the services of a third-party firm that uses these</w:t>
            </w:r>
            <w:r w:rsidR="001E7766" w:rsidRPr="003E7FFC">
              <w:rPr>
                <w:b w:val="0"/>
                <w:kern w:val="0"/>
                <w:sz w:val="20"/>
              </w:rPr>
              <w:t xml:space="preserve"> </w:t>
            </w:r>
            <w:r w:rsidR="003237DC" w:rsidRPr="003E7FFC">
              <w:rPr>
                <w:b w:val="0"/>
                <w:kern w:val="0"/>
                <w:sz w:val="20"/>
              </w:rPr>
              <w:t>sources to provide the Buyer with market-based quotes</w:t>
            </w:r>
            <w:r w:rsidR="002B35C9">
              <w:rPr>
                <w:b w:val="0"/>
                <w:kern w:val="0"/>
                <w:sz w:val="20"/>
              </w:rPr>
              <w:t xml:space="preserve">.  </w:t>
            </w:r>
          </w:p>
          <w:p w:rsidR="007130CD" w:rsidRPr="003E7FFC" w:rsidRDefault="007130CD" w:rsidP="00DC6A71">
            <w:pPr>
              <w:pStyle w:val="Heading1"/>
              <w:numPr>
                <w:ilvl w:val="0"/>
                <w:numId w:val="0"/>
              </w:numPr>
              <w:jc w:val="both"/>
              <w:rPr>
                <w:b w:val="0"/>
                <w:sz w:val="20"/>
              </w:rPr>
            </w:pPr>
            <w:r w:rsidRPr="003E7FFC">
              <w:rPr>
                <w:b w:val="0"/>
                <w:sz w:val="20"/>
              </w:rPr>
              <w:t xml:space="preserve">The following definition for </w:t>
            </w:r>
            <w:r w:rsidR="00A34C9E">
              <w:rPr>
                <w:b w:val="0"/>
                <w:sz w:val="20"/>
              </w:rPr>
              <w:t>“</w:t>
            </w:r>
            <w:r w:rsidRPr="003E7FFC">
              <w:rPr>
                <w:b w:val="0"/>
                <w:sz w:val="20"/>
              </w:rPr>
              <w:t>Business Day</w:t>
            </w:r>
            <w:r w:rsidR="00A34C9E">
              <w:rPr>
                <w:b w:val="0"/>
                <w:sz w:val="20"/>
              </w:rPr>
              <w:t>”</w:t>
            </w:r>
            <w:r w:rsidRPr="003E7FFC">
              <w:rPr>
                <w:b w:val="0"/>
                <w:sz w:val="20"/>
              </w:rPr>
              <w:t xml:space="preserve"> is added as follows:</w:t>
            </w:r>
          </w:p>
          <w:p w:rsidR="007130CD" w:rsidRPr="00DC6A71" w:rsidRDefault="00A34C9E" w:rsidP="00DC6A71">
            <w:pPr>
              <w:pStyle w:val="Heading1"/>
              <w:numPr>
                <w:ilvl w:val="0"/>
                <w:numId w:val="0"/>
              </w:numPr>
              <w:ind w:left="720"/>
              <w:jc w:val="both"/>
              <w:rPr>
                <w:b w:val="0"/>
                <w:sz w:val="20"/>
              </w:rPr>
            </w:pPr>
            <w:r>
              <w:rPr>
                <w:sz w:val="20"/>
              </w:rPr>
              <w:t>“</w:t>
            </w:r>
            <w:r w:rsidR="007130CD" w:rsidRPr="003E7FFC">
              <w:rPr>
                <w:sz w:val="20"/>
                <w:u w:val="single"/>
              </w:rPr>
              <w:t>Business Day</w:t>
            </w:r>
            <w:r>
              <w:rPr>
                <w:sz w:val="20"/>
              </w:rPr>
              <w:t>”</w:t>
            </w:r>
            <w:r w:rsidR="007130CD" w:rsidRPr="003E7FFC">
              <w:rPr>
                <w:sz w:val="20"/>
              </w:rPr>
              <w:t xml:space="preserve"> </w:t>
            </w:r>
            <w:r w:rsidR="007130CD" w:rsidRPr="003E7FFC">
              <w:rPr>
                <w:b w:val="0"/>
                <w:bCs/>
                <w:sz w:val="20"/>
              </w:rPr>
              <w:t xml:space="preserve">means any day on which </w:t>
            </w:r>
            <w:r w:rsidR="00C037F5" w:rsidRPr="003E7FFC">
              <w:rPr>
                <w:b w:val="0"/>
                <w:sz w:val="20"/>
              </w:rPr>
              <w:t>Federal Reserve Banks and Branches are open for business, such that</w:t>
            </w:r>
            <w:r w:rsidR="00C037F5" w:rsidRPr="003E7FFC">
              <w:rPr>
                <w:b w:val="0"/>
                <w:bCs/>
                <w:sz w:val="20"/>
              </w:rPr>
              <w:t xml:space="preserve"> </w:t>
            </w:r>
            <w:r w:rsidR="007130CD" w:rsidRPr="003E7FFC">
              <w:rPr>
                <w:b w:val="0"/>
                <w:bCs/>
                <w:sz w:val="20"/>
              </w:rPr>
              <w:t xml:space="preserve">payments can be </w:t>
            </w:r>
            <w:proofErr w:type="gramStart"/>
            <w:r w:rsidR="007130CD" w:rsidRPr="003E7FFC">
              <w:rPr>
                <w:b w:val="0"/>
                <w:bCs/>
                <w:sz w:val="20"/>
              </w:rPr>
              <w:t>effected</w:t>
            </w:r>
            <w:proofErr w:type="gramEnd"/>
            <w:r w:rsidR="007130CD" w:rsidRPr="003E7FFC">
              <w:rPr>
                <w:b w:val="0"/>
                <w:bCs/>
                <w:sz w:val="20"/>
              </w:rPr>
              <w:t xml:space="preserve"> on the Fedwire system.</w:t>
            </w:r>
          </w:p>
          <w:p w:rsidR="007130CD" w:rsidRPr="00DC6A71" w:rsidRDefault="007130CD"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Calculation Date</w:t>
            </w:r>
            <w:r w:rsidR="00A34C9E">
              <w:rPr>
                <w:b w:val="0"/>
                <w:sz w:val="20"/>
              </w:rPr>
              <w:t>”</w:t>
            </w:r>
            <w:r w:rsidRPr="003E7FFC">
              <w:rPr>
                <w:b w:val="0"/>
                <w:sz w:val="20"/>
              </w:rPr>
              <w:t xml:space="preserve"> is amended by replacing the term </w:t>
            </w:r>
            <w:r w:rsidR="00A34C9E">
              <w:rPr>
                <w:b w:val="0"/>
                <w:sz w:val="20"/>
              </w:rPr>
              <w:t>“</w:t>
            </w:r>
            <w:r w:rsidRPr="003E7FFC">
              <w:rPr>
                <w:b w:val="0"/>
                <w:sz w:val="20"/>
              </w:rPr>
              <w:t>Local Business Day</w:t>
            </w:r>
            <w:r w:rsidR="00A34C9E">
              <w:rPr>
                <w:b w:val="0"/>
                <w:sz w:val="20"/>
              </w:rPr>
              <w:t>”</w:t>
            </w:r>
            <w:r w:rsidRPr="003E7FFC">
              <w:rPr>
                <w:b w:val="0"/>
                <w:sz w:val="20"/>
              </w:rPr>
              <w:t xml:space="preserve"> with the term </w:t>
            </w:r>
            <w:r w:rsidR="00A34C9E">
              <w:rPr>
                <w:b w:val="0"/>
                <w:sz w:val="20"/>
              </w:rPr>
              <w:t>“</w:t>
            </w:r>
            <w:r w:rsidRPr="003E7FFC">
              <w:rPr>
                <w:b w:val="0"/>
                <w:sz w:val="20"/>
              </w:rPr>
              <w:t>Business Day</w:t>
            </w:r>
            <w:r w:rsidR="00A34C9E">
              <w:rPr>
                <w:b w:val="0"/>
                <w:sz w:val="20"/>
              </w:rPr>
              <w:t>”</w:t>
            </w:r>
            <w:r w:rsidRPr="003E7FFC">
              <w:rPr>
                <w:b w:val="0"/>
                <w:sz w:val="20"/>
              </w:rPr>
              <w:t>.</w:t>
            </w:r>
          </w:p>
          <w:p w:rsidR="007130CD" w:rsidRPr="003E7FFC" w:rsidRDefault="007130CD" w:rsidP="00DC6A71">
            <w:pPr>
              <w:pStyle w:val="Heading1"/>
              <w:numPr>
                <w:ilvl w:val="0"/>
                <w:numId w:val="0"/>
              </w:numPr>
              <w:jc w:val="both"/>
              <w:rPr>
                <w:b w:val="0"/>
                <w:sz w:val="20"/>
              </w:rPr>
            </w:pPr>
            <w:r w:rsidRPr="003E7FFC">
              <w:rPr>
                <w:b w:val="0"/>
                <w:sz w:val="20"/>
              </w:rPr>
              <w:lastRenderedPageBreak/>
              <w:t xml:space="preserve">The definition of </w:t>
            </w:r>
            <w:r w:rsidR="00A34C9E">
              <w:rPr>
                <w:b w:val="0"/>
                <w:sz w:val="20"/>
              </w:rPr>
              <w:t>“</w:t>
            </w:r>
            <w:r w:rsidRPr="003E7FFC">
              <w:rPr>
                <w:b w:val="0"/>
                <w:sz w:val="20"/>
              </w:rPr>
              <w:t>Credit Rating</w:t>
            </w:r>
            <w:r w:rsidR="00A34C9E">
              <w:rPr>
                <w:b w:val="0"/>
                <w:sz w:val="20"/>
              </w:rPr>
              <w:t>”</w:t>
            </w:r>
            <w:r w:rsidRPr="003E7FFC">
              <w:rPr>
                <w:b w:val="0"/>
                <w:sz w:val="20"/>
              </w:rPr>
              <w:t xml:space="preserve"> is amended to read, in its entirety, as follows:</w:t>
            </w:r>
          </w:p>
          <w:p w:rsidR="00B82A1F" w:rsidRDefault="00A34C9E" w:rsidP="00DC6A71">
            <w:pPr>
              <w:pStyle w:val="Heading2"/>
              <w:numPr>
                <w:ilvl w:val="0"/>
                <w:numId w:val="0"/>
              </w:numPr>
              <w:ind w:left="720"/>
              <w:rPr>
                <w:sz w:val="20"/>
              </w:rPr>
            </w:pPr>
            <w:r>
              <w:rPr>
                <w:b/>
                <w:sz w:val="20"/>
              </w:rPr>
              <w:t>“</w:t>
            </w:r>
            <w:r w:rsidR="003C6367" w:rsidRPr="003E7FFC">
              <w:rPr>
                <w:b/>
                <w:sz w:val="20"/>
                <w:u w:val="single"/>
              </w:rPr>
              <w:t>Credit Rating</w:t>
            </w:r>
            <w:r>
              <w:rPr>
                <w:b/>
                <w:sz w:val="20"/>
              </w:rPr>
              <w:t>”</w:t>
            </w:r>
            <w:r w:rsidR="003C6367" w:rsidRPr="003E7FFC">
              <w:rPr>
                <w:sz w:val="20"/>
              </w:rPr>
              <w:t xml:space="preserve"> means, with respect to any entity, the rating then assigned to such entity</w:t>
            </w:r>
            <w:r>
              <w:rPr>
                <w:sz w:val="20"/>
              </w:rPr>
              <w:t>’</w:t>
            </w:r>
            <w:r w:rsidR="003C6367" w:rsidRPr="003E7FFC">
              <w:rPr>
                <w:sz w:val="20"/>
              </w:rPr>
              <w:t>s unsecured, senior long-term debt obligations (excluding, however, any debt obligations that are supported by specific third party credit enhancements that would not apply t</w:t>
            </w:r>
            <w:r w:rsidR="00B71811" w:rsidRPr="003E7FFC">
              <w:rPr>
                <w:sz w:val="20"/>
              </w:rPr>
              <w:t>o payment obligations under the</w:t>
            </w:r>
            <w:r w:rsidR="003C6367" w:rsidRPr="003E7FFC">
              <w:rPr>
                <w:sz w:val="20"/>
              </w:rPr>
              <w:t xml:space="preserve"> Agreement) </w:t>
            </w:r>
            <w:r w:rsidR="00635456" w:rsidRPr="003E7FFC">
              <w:rPr>
                <w:sz w:val="20"/>
              </w:rPr>
              <w:t>or if such entity does not have a rating for its senior unsecured long-term debt, then the rating then assigned to such entity as an issuer default rating by Fitch, or the issuer rating by Moody</w:t>
            </w:r>
            <w:r>
              <w:rPr>
                <w:sz w:val="20"/>
              </w:rPr>
              <w:t>’</w:t>
            </w:r>
            <w:r w:rsidR="00635456" w:rsidRPr="003E7FFC">
              <w:rPr>
                <w:sz w:val="20"/>
              </w:rPr>
              <w:t>s</w:t>
            </w:r>
            <w:r w:rsidR="003C6367" w:rsidRPr="003E7FFC">
              <w:rPr>
                <w:sz w:val="20"/>
              </w:rPr>
              <w:t>, or the corporate issuer rating by S&amp;P if such entity is a utility with an investment grade rating, or the corporate issuer rating, discounted one notch, by S&amp;P if such entity is not a utility with an investment grade rating, or any other rating agency agreed by the Parties as set forth in the Cover Sheet.</w:t>
            </w:r>
          </w:p>
          <w:p w:rsidR="00426331" w:rsidRDefault="00426331" w:rsidP="00DC6A71">
            <w:pPr>
              <w:pStyle w:val="BodyTextFirstIndent"/>
              <w:ind w:firstLine="0"/>
              <w:rPr>
                <w:sz w:val="20"/>
              </w:rPr>
            </w:pPr>
          </w:p>
          <w:p w:rsidR="002E3E43" w:rsidRPr="00DC6A71" w:rsidRDefault="007130CD" w:rsidP="00DC6A71">
            <w:pPr>
              <w:pStyle w:val="BodyTextFirstIndent"/>
              <w:ind w:firstLine="0"/>
              <w:rPr>
                <w:sz w:val="20"/>
              </w:rPr>
            </w:pPr>
            <w:r w:rsidRPr="003E7FFC">
              <w:rPr>
                <w:sz w:val="20"/>
              </w:rPr>
              <w:t xml:space="preserve">The definition of </w:t>
            </w:r>
            <w:r w:rsidR="00A34C9E">
              <w:rPr>
                <w:sz w:val="20"/>
              </w:rPr>
              <w:t>“</w:t>
            </w:r>
            <w:r w:rsidRPr="003E7FFC">
              <w:rPr>
                <w:sz w:val="20"/>
              </w:rPr>
              <w:t>Credit Rating Event</w:t>
            </w:r>
            <w:r w:rsidR="00A34C9E">
              <w:rPr>
                <w:sz w:val="20"/>
              </w:rPr>
              <w:t>”</w:t>
            </w:r>
            <w:r w:rsidRPr="003E7FFC">
              <w:rPr>
                <w:sz w:val="20"/>
              </w:rPr>
              <w:t xml:space="preserve"> is amended by deleting the reference to </w:t>
            </w:r>
            <w:r w:rsidR="00A34C9E">
              <w:rPr>
                <w:sz w:val="20"/>
              </w:rPr>
              <w:t>“</w:t>
            </w:r>
            <w:r w:rsidRPr="003E7FFC">
              <w:rPr>
                <w:sz w:val="20"/>
              </w:rPr>
              <w:t>Paragraph 6(a)(iii)</w:t>
            </w:r>
            <w:r w:rsidR="00A34C9E">
              <w:rPr>
                <w:sz w:val="20"/>
              </w:rPr>
              <w:t>”</w:t>
            </w:r>
            <w:r w:rsidRPr="003E7FFC">
              <w:rPr>
                <w:sz w:val="20"/>
              </w:rPr>
              <w:t xml:space="preserve"> and replacing it with </w:t>
            </w:r>
            <w:r w:rsidR="00A34C9E">
              <w:rPr>
                <w:sz w:val="20"/>
              </w:rPr>
              <w:t>“</w:t>
            </w:r>
            <w:r w:rsidRPr="003E7FFC">
              <w:rPr>
                <w:sz w:val="20"/>
              </w:rPr>
              <w:t>Paragraph 6(a)(ii)</w:t>
            </w:r>
            <w:r w:rsidR="00A34C9E">
              <w:rPr>
                <w:sz w:val="20"/>
              </w:rPr>
              <w:t>”</w:t>
            </w:r>
            <w:r w:rsidRPr="003E7FFC">
              <w:rPr>
                <w:sz w:val="20"/>
              </w:rPr>
              <w:t>.</w:t>
            </w:r>
          </w:p>
          <w:p w:rsidR="007130CD" w:rsidRPr="003E7FFC" w:rsidRDefault="007130CD"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Current Mark-to-Market Value</w:t>
            </w:r>
            <w:r w:rsidR="00A34C9E">
              <w:rPr>
                <w:b w:val="0"/>
                <w:sz w:val="20"/>
              </w:rPr>
              <w:t>”</w:t>
            </w:r>
            <w:r w:rsidRPr="003E7FFC">
              <w:rPr>
                <w:b w:val="0"/>
                <w:sz w:val="20"/>
              </w:rPr>
              <w:t xml:space="preserve"> is amended to read, in its entirety, as follows:</w:t>
            </w:r>
          </w:p>
          <w:p w:rsidR="00CD525C" w:rsidRPr="00DC6A71" w:rsidRDefault="00A34C9E" w:rsidP="00DC6A71">
            <w:pPr>
              <w:pStyle w:val="Heading1"/>
              <w:numPr>
                <w:ilvl w:val="0"/>
                <w:numId w:val="0"/>
              </w:numPr>
              <w:ind w:left="766"/>
              <w:jc w:val="both"/>
              <w:rPr>
                <w:b w:val="0"/>
                <w:sz w:val="20"/>
              </w:rPr>
            </w:pPr>
            <w:r>
              <w:rPr>
                <w:b w:val="0"/>
                <w:sz w:val="20"/>
              </w:rPr>
              <w:t>“</w:t>
            </w:r>
            <w:r w:rsidR="007130CD" w:rsidRPr="003E7FFC">
              <w:rPr>
                <w:sz w:val="20"/>
                <w:u w:val="single"/>
              </w:rPr>
              <w:t>Current Mark-to-Market Value</w:t>
            </w:r>
            <w:r>
              <w:rPr>
                <w:b w:val="0"/>
                <w:sz w:val="20"/>
              </w:rPr>
              <w:t>”</w:t>
            </w:r>
            <w:r w:rsidR="007130CD" w:rsidRPr="003E7FFC">
              <w:rPr>
                <w:b w:val="0"/>
                <w:sz w:val="20"/>
              </w:rPr>
              <w:t xml:space="preserve"> of an outstanding Transaction, on any Calculation Date, means the amount, as calculated in accordance with Schedule 3 attached hereto, which a Party to the Agreement would pay to (a negative Current Mark-to-Market Value) or receive from (a positive Current Mark-to-Market Value) the other Party as the Settlement Amount for such Transaction.</w:t>
            </w:r>
          </w:p>
          <w:p w:rsidR="007130CD" w:rsidRPr="003E7FFC" w:rsidRDefault="007130CD" w:rsidP="00DC6A71">
            <w:pPr>
              <w:pStyle w:val="Heading1"/>
              <w:numPr>
                <w:ilvl w:val="0"/>
                <w:numId w:val="0"/>
              </w:numPr>
              <w:jc w:val="both"/>
              <w:rPr>
                <w:b w:val="0"/>
                <w:sz w:val="20"/>
              </w:rPr>
            </w:pPr>
            <w:r w:rsidRPr="003E7FFC">
              <w:rPr>
                <w:b w:val="0"/>
                <w:sz w:val="20"/>
              </w:rPr>
              <w:t xml:space="preserve">The following definition for </w:t>
            </w:r>
            <w:r w:rsidR="00A34C9E">
              <w:rPr>
                <w:b w:val="0"/>
                <w:sz w:val="20"/>
              </w:rPr>
              <w:t>“</w:t>
            </w:r>
            <w:r w:rsidRPr="003E7FFC">
              <w:rPr>
                <w:b w:val="0"/>
                <w:sz w:val="20"/>
              </w:rPr>
              <w:t>ICAP</w:t>
            </w:r>
            <w:r w:rsidR="00A34C9E">
              <w:rPr>
                <w:b w:val="0"/>
                <w:sz w:val="20"/>
              </w:rPr>
              <w:t>”</w:t>
            </w:r>
            <w:r w:rsidRPr="003E7FFC">
              <w:rPr>
                <w:b w:val="0"/>
                <w:sz w:val="20"/>
              </w:rPr>
              <w:t xml:space="preserve"> is added as follows:</w:t>
            </w:r>
          </w:p>
          <w:p w:rsidR="007130CD" w:rsidRPr="00DC6A71" w:rsidRDefault="00A34C9E" w:rsidP="00DC6A71">
            <w:pPr>
              <w:pStyle w:val="Heading1"/>
              <w:numPr>
                <w:ilvl w:val="0"/>
                <w:numId w:val="0"/>
              </w:numPr>
              <w:ind w:left="720"/>
              <w:jc w:val="both"/>
              <w:rPr>
                <w:b w:val="0"/>
                <w:bCs/>
                <w:sz w:val="20"/>
              </w:rPr>
            </w:pPr>
            <w:r>
              <w:rPr>
                <w:sz w:val="20"/>
              </w:rPr>
              <w:t>“</w:t>
            </w:r>
            <w:r w:rsidR="007130CD" w:rsidRPr="003E7FFC">
              <w:rPr>
                <w:sz w:val="20"/>
                <w:u w:val="single"/>
              </w:rPr>
              <w:t>ICAP</w:t>
            </w:r>
            <w:r>
              <w:rPr>
                <w:sz w:val="20"/>
              </w:rPr>
              <w:t>”</w:t>
            </w:r>
            <w:r w:rsidR="007130CD" w:rsidRPr="003E7FFC">
              <w:rPr>
                <w:sz w:val="20"/>
              </w:rPr>
              <w:t xml:space="preserve"> </w:t>
            </w:r>
            <w:r w:rsidR="007130CD" w:rsidRPr="003E7FFC">
              <w:rPr>
                <w:b w:val="0"/>
                <w:bCs/>
                <w:sz w:val="20"/>
              </w:rPr>
              <w:t>means ICAP plc.</w:t>
            </w:r>
          </w:p>
          <w:p w:rsidR="00F85DC5" w:rsidRPr="00DC6A71" w:rsidRDefault="007130CD"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Interest Period</w:t>
            </w:r>
            <w:r w:rsidR="00A34C9E">
              <w:rPr>
                <w:b w:val="0"/>
                <w:sz w:val="20"/>
              </w:rPr>
              <w:t>”</w:t>
            </w:r>
            <w:r w:rsidRPr="003E7FFC">
              <w:rPr>
                <w:b w:val="0"/>
                <w:sz w:val="20"/>
              </w:rPr>
              <w:t xml:space="preserve"> is amended by replacing the term </w:t>
            </w:r>
            <w:r w:rsidR="00A34C9E">
              <w:rPr>
                <w:b w:val="0"/>
                <w:sz w:val="20"/>
              </w:rPr>
              <w:t>“</w:t>
            </w:r>
            <w:r w:rsidRPr="003E7FFC">
              <w:rPr>
                <w:b w:val="0"/>
                <w:sz w:val="20"/>
              </w:rPr>
              <w:t>Local Business Day</w:t>
            </w:r>
            <w:r w:rsidR="00A34C9E">
              <w:rPr>
                <w:b w:val="0"/>
                <w:sz w:val="20"/>
              </w:rPr>
              <w:t>”</w:t>
            </w:r>
            <w:r w:rsidRPr="003E7FFC">
              <w:rPr>
                <w:b w:val="0"/>
                <w:sz w:val="20"/>
              </w:rPr>
              <w:t xml:space="preserve"> with the term </w:t>
            </w:r>
            <w:r w:rsidR="00A34C9E">
              <w:rPr>
                <w:b w:val="0"/>
                <w:sz w:val="20"/>
              </w:rPr>
              <w:t>“</w:t>
            </w:r>
            <w:r w:rsidRPr="003E7FFC">
              <w:rPr>
                <w:b w:val="0"/>
                <w:sz w:val="20"/>
              </w:rPr>
              <w:t>Business Day</w:t>
            </w:r>
            <w:r w:rsidR="00A34C9E">
              <w:rPr>
                <w:b w:val="0"/>
                <w:sz w:val="20"/>
              </w:rPr>
              <w:t>”</w:t>
            </w:r>
            <w:r w:rsidR="00BE05A3" w:rsidRPr="003E7FFC">
              <w:rPr>
                <w:b w:val="0"/>
                <w:sz w:val="20"/>
              </w:rPr>
              <w:t xml:space="preserve"> throughout</w:t>
            </w:r>
            <w:r w:rsidRPr="003E7FFC">
              <w:rPr>
                <w:b w:val="0"/>
                <w:sz w:val="20"/>
              </w:rPr>
              <w:t>.</w:t>
            </w:r>
          </w:p>
          <w:p w:rsidR="00107BA3" w:rsidRPr="003E7FFC" w:rsidRDefault="00107BA3"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Letter of Credit</w:t>
            </w:r>
            <w:r w:rsidR="00A34C9E">
              <w:rPr>
                <w:b w:val="0"/>
                <w:sz w:val="20"/>
              </w:rPr>
              <w:t>”</w:t>
            </w:r>
            <w:r w:rsidRPr="003E7FFC">
              <w:rPr>
                <w:b w:val="0"/>
                <w:sz w:val="20"/>
              </w:rPr>
              <w:t xml:space="preserve"> is amended to read, in its entirety, as follows:</w:t>
            </w:r>
          </w:p>
          <w:p w:rsidR="00D62442" w:rsidRPr="00DC6A71" w:rsidRDefault="00A34C9E" w:rsidP="00DC6A71">
            <w:pPr>
              <w:pStyle w:val="BodyTextFirstIndent"/>
              <w:ind w:left="720" w:firstLine="0"/>
              <w:rPr>
                <w:sz w:val="20"/>
              </w:rPr>
            </w:pPr>
            <w:permStart w:id="430118016" w:edGrp="everyone"/>
            <w:r>
              <w:rPr>
                <w:sz w:val="20"/>
              </w:rPr>
              <w:t>“</w:t>
            </w:r>
            <w:r w:rsidR="00107BA3" w:rsidRPr="003E7FFC">
              <w:rPr>
                <w:b/>
                <w:sz w:val="20"/>
                <w:u w:val="single"/>
              </w:rPr>
              <w:t>Letter of Credit</w:t>
            </w:r>
            <w:r>
              <w:rPr>
                <w:sz w:val="20"/>
              </w:rPr>
              <w:t>”</w:t>
            </w:r>
            <w:r w:rsidR="00107BA3" w:rsidRPr="003E7FFC">
              <w:rPr>
                <w:sz w:val="20"/>
              </w:rPr>
              <w:t xml:space="preserve"> means one or more irrevocable, transferable standby letters of credit substantially </w:t>
            </w:r>
            <w:r w:rsidR="00755CD5" w:rsidRPr="003E7FFC">
              <w:rPr>
                <w:sz w:val="20"/>
              </w:rPr>
              <w:t>in the form of Schedule 1</w:t>
            </w:r>
            <w:r w:rsidR="00E65785" w:rsidRPr="003E7FFC">
              <w:rPr>
                <w:sz w:val="20"/>
              </w:rPr>
              <w:t>a</w:t>
            </w:r>
            <w:r w:rsidR="00755CD5" w:rsidRPr="003E7FFC">
              <w:rPr>
                <w:sz w:val="20"/>
              </w:rPr>
              <w:t xml:space="preserve"> to this</w:t>
            </w:r>
            <w:r w:rsidR="00107BA3" w:rsidRPr="003E7FFC">
              <w:rPr>
                <w:sz w:val="20"/>
              </w:rPr>
              <w:t xml:space="preserve"> Collateral Annex with such modifications as are approved by the administrator of the Standard Products RFP </w:t>
            </w:r>
            <w:r w:rsidR="00755CD5" w:rsidRPr="003E7FFC">
              <w:rPr>
                <w:sz w:val="20"/>
              </w:rPr>
              <w:t xml:space="preserve">applicable to the Agreement </w:t>
            </w:r>
            <w:r w:rsidR="00107BA3" w:rsidRPr="003E7FFC">
              <w:rPr>
                <w:sz w:val="20"/>
              </w:rPr>
              <w:t>and posted to the Standard Products RFP website as acceptable modifications to the Letter of Credit</w:t>
            </w:r>
            <w:r w:rsidR="00A634B5">
              <w:rPr>
                <w:sz w:val="20"/>
              </w:rPr>
              <w:t xml:space="preserve"> or utilizing such forms with minor modifications that are acceptable to Buyer in its sole discretion</w:t>
            </w:r>
            <w:r w:rsidR="002B35C9">
              <w:rPr>
                <w:sz w:val="20"/>
              </w:rPr>
              <w:t xml:space="preserve">.  </w:t>
            </w:r>
            <w:r w:rsidR="00107BA3" w:rsidRPr="003E7FFC">
              <w:rPr>
                <w:sz w:val="20"/>
              </w:rPr>
              <w:t>Costs of a Letter of Credit shall be borne by the applicant for such Letter of Credit</w:t>
            </w:r>
            <w:r w:rsidR="002B35C9">
              <w:rPr>
                <w:sz w:val="20"/>
              </w:rPr>
              <w:t xml:space="preserve">.  </w:t>
            </w:r>
            <w:r w:rsidR="00B7250E" w:rsidRPr="003E7FFC">
              <w:rPr>
                <w:sz w:val="20"/>
              </w:rPr>
              <w:t>Each such letter of credit must be issued by a U.S</w:t>
            </w:r>
            <w:r w:rsidR="002B35C9">
              <w:rPr>
                <w:sz w:val="20"/>
              </w:rPr>
              <w:t xml:space="preserve">.  </w:t>
            </w:r>
            <w:r w:rsidR="00B7250E" w:rsidRPr="003E7FFC">
              <w:rPr>
                <w:sz w:val="20"/>
              </w:rPr>
              <w:t>commercial bank or a foreign bank with a U.S</w:t>
            </w:r>
            <w:r w:rsidR="002B35C9">
              <w:rPr>
                <w:sz w:val="20"/>
              </w:rPr>
              <w:t xml:space="preserve">.  </w:t>
            </w:r>
            <w:r w:rsidR="00B7250E" w:rsidRPr="003E7FFC">
              <w:rPr>
                <w:sz w:val="20"/>
              </w:rPr>
              <w:t>branch that</w:t>
            </w:r>
            <w:proofErr w:type="gramStart"/>
            <w:r w:rsidR="00B7250E" w:rsidRPr="003E7FFC">
              <w:rPr>
                <w:sz w:val="20"/>
              </w:rPr>
              <w:t>:  (</w:t>
            </w:r>
            <w:proofErr w:type="gramEnd"/>
            <w:r w:rsidR="00B7250E" w:rsidRPr="003E7FFC">
              <w:rPr>
                <w:sz w:val="20"/>
              </w:rPr>
              <w:t xml:space="preserve">1) is rated by at least two of the following three rating agencies:  </w:t>
            </w:r>
            <w:r w:rsidR="00461FF9">
              <w:rPr>
                <w:sz w:val="20"/>
              </w:rPr>
              <w:t>S&amp;P Global Ratings</w:t>
            </w:r>
            <w:r w:rsidR="00B7250E" w:rsidRPr="003E7FFC">
              <w:rPr>
                <w:sz w:val="20"/>
              </w:rPr>
              <w:t xml:space="preserve"> (</w:t>
            </w:r>
            <w:r>
              <w:rPr>
                <w:sz w:val="20"/>
              </w:rPr>
              <w:t>“</w:t>
            </w:r>
            <w:r w:rsidR="00B7250E" w:rsidRPr="003E7FFC">
              <w:rPr>
                <w:sz w:val="20"/>
              </w:rPr>
              <w:t>S&amp;P</w:t>
            </w:r>
            <w:r>
              <w:rPr>
                <w:sz w:val="20"/>
              </w:rPr>
              <w:t>”</w:t>
            </w:r>
            <w:r w:rsidR="00B7250E" w:rsidRPr="003E7FFC">
              <w:rPr>
                <w:sz w:val="20"/>
              </w:rPr>
              <w:t>), Moody</w:t>
            </w:r>
            <w:r>
              <w:rPr>
                <w:sz w:val="20"/>
              </w:rPr>
              <w:t>’</w:t>
            </w:r>
            <w:r w:rsidR="00B7250E" w:rsidRPr="003E7FFC">
              <w:rPr>
                <w:sz w:val="20"/>
              </w:rPr>
              <w:t>s Investors Service, Inc</w:t>
            </w:r>
            <w:r w:rsidR="002B35C9">
              <w:rPr>
                <w:sz w:val="20"/>
              </w:rPr>
              <w:t xml:space="preserve">.  </w:t>
            </w:r>
            <w:r w:rsidR="00B7250E" w:rsidRPr="003E7FFC">
              <w:rPr>
                <w:sz w:val="20"/>
              </w:rPr>
              <w:t>(</w:t>
            </w:r>
            <w:r>
              <w:rPr>
                <w:sz w:val="20"/>
              </w:rPr>
              <w:t>“</w:t>
            </w:r>
            <w:r w:rsidR="00B7250E" w:rsidRPr="003E7FFC">
              <w:rPr>
                <w:sz w:val="20"/>
              </w:rPr>
              <w:t>Moody</w:t>
            </w:r>
            <w:r>
              <w:rPr>
                <w:sz w:val="20"/>
              </w:rPr>
              <w:t>’</w:t>
            </w:r>
            <w:r w:rsidR="00B7250E" w:rsidRPr="003E7FFC">
              <w:rPr>
                <w:sz w:val="20"/>
              </w:rPr>
              <w:t>s</w:t>
            </w:r>
            <w:r>
              <w:rPr>
                <w:sz w:val="20"/>
              </w:rPr>
              <w:t>”</w:t>
            </w:r>
            <w:r w:rsidR="00B7250E" w:rsidRPr="003E7FFC">
              <w:rPr>
                <w:sz w:val="20"/>
              </w:rPr>
              <w:t>), or Fitch, Inc</w:t>
            </w:r>
            <w:r w:rsidR="002B35C9">
              <w:rPr>
                <w:sz w:val="20"/>
              </w:rPr>
              <w:t xml:space="preserve">.  </w:t>
            </w:r>
            <w:r w:rsidR="00B7250E" w:rsidRPr="003E7FFC">
              <w:rPr>
                <w:sz w:val="20"/>
              </w:rPr>
              <w:t>(</w:t>
            </w:r>
            <w:r>
              <w:rPr>
                <w:sz w:val="20"/>
              </w:rPr>
              <w:t>“</w:t>
            </w:r>
            <w:r w:rsidR="00B7250E" w:rsidRPr="003E7FFC">
              <w:rPr>
                <w:sz w:val="20"/>
              </w:rPr>
              <w:t>Fitch</w:t>
            </w:r>
            <w:r>
              <w:rPr>
                <w:sz w:val="20"/>
              </w:rPr>
              <w:t>”</w:t>
            </w:r>
            <w:r w:rsidR="00B7250E" w:rsidRPr="003E7FFC">
              <w:rPr>
                <w:sz w:val="20"/>
              </w:rPr>
              <w:t>); (2)  if rated by S&amp;P, has a credit rating of A or higher from S&amp;P; (3) if rated by Moody</w:t>
            </w:r>
            <w:r>
              <w:rPr>
                <w:sz w:val="20"/>
              </w:rPr>
              <w:t>’</w:t>
            </w:r>
            <w:r w:rsidR="00B7250E" w:rsidRPr="003E7FFC">
              <w:rPr>
                <w:sz w:val="20"/>
              </w:rPr>
              <w:t>s, has a credit rating of A2 or higher from Moody</w:t>
            </w:r>
            <w:r>
              <w:rPr>
                <w:sz w:val="20"/>
              </w:rPr>
              <w:t>’</w:t>
            </w:r>
            <w:r w:rsidR="00B7250E" w:rsidRPr="003E7FFC">
              <w:rPr>
                <w:sz w:val="20"/>
              </w:rPr>
              <w:t xml:space="preserve">s; and (4) if rated by Fitch, has a credit rating of A or higher from </w:t>
            </w:r>
            <w:r w:rsidR="005F5B8A" w:rsidRPr="003E7FFC">
              <w:rPr>
                <w:sz w:val="20"/>
              </w:rPr>
              <w:t>Fitch</w:t>
            </w:r>
            <w:r w:rsidR="002B35C9">
              <w:rPr>
                <w:sz w:val="20"/>
              </w:rPr>
              <w:t xml:space="preserve">.  </w:t>
            </w:r>
          </w:p>
          <w:permEnd w:id="430118016"/>
          <w:p w:rsidR="00E93B5E" w:rsidRPr="003E7FFC" w:rsidRDefault="00E93B5E"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Letter of Credit Default</w:t>
            </w:r>
            <w:r w:rsidR="00A34C9E">
              <w:rPr>
                <w:b w:val="0"/>
                <w:sz w:val="20"/>
              </w:rPr>
              <w:t>”</w:t>
            </w:r>
            <w:r w:rsidRPr="003E7FFC">
              <w:rPr>
                <w:b w:val="0"/>
                <w:sz w:val="20"/>
              </w:rPr>
              <w:t xml:space="preserve"> is amended to read, in its entirety, as </w:t>
            </w:r>
            <w:r w:rsidRPr="003E7FFC">
              <w:rPr>
                <w:b w:val="0"/>
                <w:sz w:val="20"/>
              </w:rPr>
              <w:lastRenderedPageBreak/>
              <w:t xml:space="preserve">follows: </w:t>
            </w:r>
          </w:p>
          <w:p w:rsidR="00C46B2E" w:rsidRPr="00DC6A71" w:rsidRDefault="00A34C9E" w:rsidP="00DC6A71">
            <w:pPr>
              <w:pStyle w:val="Default"/>
              <w:spacing w:after="240"/>
              <w:ind w:left="720"/>
              <w:jc w:val="both"/>
              <w:rPr>
                <w:sz w:val="20"/>
                <w:szCs w:val="20"/>
                <w:lang w:eastAsia="en-US"/>
              </w:rPr>
            </w:pPr>
            <w:r>
              <w:rPr>
                <w:sz w:val="20"/>
                <w:szCs w:val="20"/>
              </w:rPr>
              <w:t>“</w:t>
            </w:r>
            <w:r w:rsidR="00E93B5E" w:rsidRPr="004D0B8E">
              <w:rPr>
                <w:b/>
                <w:sz w:val="20"/>
                <w:szCs w:val="20"/>
                <w:u w:val="single"/>
              </w:rPr>
              <w:t>Letter of Credit Default</w:t>
            </w:r>
            <w:r>
              <w:rPr>
                <w:sz w:val="20"/>
                <w:szCs w:val="20"/>
              </w:rPr>
              <w:t>”</w:t>
            </w:r>
            <w:r w:rsidR="00E93B5E" w:rsidRPr="003E7FFC">
              <w:rPr>
                <w:sz w:val="20"/>
                <w:szCs w:val="20"/>
              </w:rPr>
              <w:t xml:space="preserve"> means with respect to a Letter of Credit, </w:t>
            </w:r>
            <w:r w:rsidR="00E93B5E" w:rsidRPr="003E7FFC">
              <w:rPr>
                <w:sz w:val="20"/>
              </w:rPr>
              <w:t xml:space="preserve">the </w:t>
            </w:r>
            <w:r w:rsidR="00E93B5E" w:rsidRPr="003E7FFC">
              <w:rPr>
                <w:sz w:val="20"/>
                <w:szCs w:val="20"/>
              </w:rPr>
              <w:t xml:space="preserve">occurrence of any of the following events: (a) the issuer of such Letter of Credit shall fail to maintain </w:t>
            </w:r>
            <w:r w:rsidR="00226A7F" w:rsidRPr="003E7FFC">
              <w:rPr>
                <w:sz w:val="20"/>
                <w:szCs w:val="20"/>
              </w:rPr>
              <w:t xml:space="preserve">the minimum </w:t>
            </w:r>
            <w:r w:rsidR="00E93B5E" w:rsidRPr="003E7FFC">
              <w:rPr>
                <w:sz w:val="20"/>
                <w:szCs w:val="20"/>
              </w:rPr>
              <w:t>C</w:t>
            </w:r>
            <w:r w:rsidR="00E93B5E" w:rsidRPr="003E7FFC">
              <w:rPr>
                <w:sz w:val="20"/>
              </w:rPr>
              <w:t>redit Rating</w:t>
            </w:r>
            <w:r w:rsidR="00226A7F" w:rsidRPr="003E7FFC">
              <w:rPr>
                <w:sz w:val="20"/>
              </w:rPr>
              <w:t>s</w:t>
            </w:r>
            <w:r w:rsidR="00E93B5E" w:rsidRPr="003E7FFC">
              <w:rPr>
                <w:sz w:val="20"/>
              </w:rPr>
              <w:t xml:space="preserve"> </w:t>
            </w:r>
            <w:r w:rsidR="00226A7F" w:rsidRPr="003E7FFC">
              <w:rPr>
                <w:sz w:val="20"/>
              </w:rPr>
              <w:t>specified in Schedule 1</w:t>
            </w:r>
            <w:r w:rsidR="00F528F4" w:rsidRPr="003E7FFC">
              <w:rPr>
                <w:sz w:val="20"/>
              </w:rPr>
              <w:t>a</w:t>
            </w:r>
            <w:r w:rsidR="00226A7F" w:rsidRPr="003E7FFC">
              <w:rPr>
                <w:sz w:val="20"/>
              </w:rPr>
              <w:t xml:space="preserve"> to the Collateral Annex; </w:t>
            </w:r>
            <w:r w:rsidR="00E93B5E" w:rsidRPr="003E7FFC">
              <w:rPr>
                <w:sz w:val="20"/>
                <w:szCs w:val="20"/>
              </w:rPr>
              <w:t>(b)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however, that no Letter</w:t>
            </w:r>
            <w:r w:rsidR="00E93B5E" w:rsidRPr="003E7FFC">
              <w:t xml:space="preserve"> o</w:t>
            </w:r>
            <w:r w:rsidR="00E93B5E" w:rsidRPr="003E7FFC">
              <w:rPr>
                <w:sz w:val="20"/>
                <w:szCs w:val="20"/>
              </w:rPr>
              <w:t>f Credit Default shall occur or be continuing in any event with respect to a Letter of Credit after the time such Letter of Credit is required to be canceled or returned to a Party in accordance with the terms of this Collateral Annex</w:t>
            </w:r>
            <w:r w:rsidR="002B35C9">
              <w:rPr>
                <w:sz w:val="20"/>
                <w:szCs w:val="20"/>
              </w:rPr>
              <w:t xml:space="preserve">.  </w:t>
            </w:r>
          </w:p>
          <w:p w:rsidR="00CD525C" w:rsidRPr="00DC6A71" w:rsidRDefault="007130CD"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Local Business Day</w:t>
            </w:r>
            <w:r w:rsidR="00A34C9E">
              <w:rPr>
                <w:b w:val="0"/>
                <w:sz w:val="20"/>
              </w:rPr>
              <w:t>”</w:t>
            </w:r>
            <w:r w:rsidRPr="003E7FFC">
              <w:rPr>
                <w:b w:val="0"/>
                <w:sz w:val="20"/>
              </w:rPr>
              <w:t xml:space="preserve"> is eliminated in its entirety.</w:t>
            </w:r>
          </w:p>
          <w:p w:rsidR="007130CD" w:rsidRPr="003E7FFC" w:rsidRDefault="007130CD"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Notification Time</w:t>
            </w:r>
            <w:r w:rsidR="00A34C9E">
              <w:rPr>
                <w:b w:val="0"/>
                <w:sz w:val="20"/>
              </w:rPr>
              <w:t>”</w:t>
            </w:r>
            <w:r w:rsidRPr="003E7FFC">
              <w:rPr>
                <w:b w:val="0"/>
                <w:sz w:val="20"/>
              </w:rPr>
              <w:t xml:space="preserve"> is amended to read, in its entirety, as follows:</w:t>
            </w:r>
          </w:p>
          <w:p w:rsidR="00CD525C" w:rsidRPr="00DC6A71" w:rsidRDefault="00A34C9E" w:rsidP="00DC6A71">
            <w:pPr>
              <w:pStyle w:val="Heading1"/>
              <w:numPr>
                <w:ilvl w:val="0"/>
                <w:numId w:val="0"/>
              </w:numPr>
              <w:ind w:left="720"/>
              <w:jc w:val="both"/>
              <w:rPr>
                <w:b w:val="0"/>
                <w:bCs/>
                <w:sz w:val="20"/>
              </w:rPr>
            </w:pPr>
            <w:r>
              <w:rPr>
                <w:sz w:val="20"/>
              </w:rPr>
              <w:t>“</w:t>
            </w:r>
            <w:r w:rsidR="007130CD" w:rsidRPr="003E7FFC">
              <w:rPr>
                <w:sz w:val="20"/>
                <w:u w:val="single"/>
              </w:rPr>
              <w:t>Notification Time</w:t>
            </w:r>
            <w:r>
              <w:rPr>
                <w:sz w:val="20"/>
              </w:rPr>
              <w:t>”</w:t>
            </w:r>
            <w:r w:rsidR="007130CD" w:rsidRPr="003E7FFC">
              <w:rPr>
                <w:sz w:val="20"/>
              </w:rPr>
              <w:t xml:space="preserve"> </w:t>
            </w:r>
            <w:r w:rsidR="007130CD" w:rsidRPr="003E7FFC">
              <w:rPr>
                <w:b w:val="0"/>
                <w:bCs/>
                <w:sz w:val="20"/>
              </w:rPr>
              <w:t>means 1:00 P.M., New York time, on any Calculation Date</w:t>
            </w:r>
            <w:r w:rsidR="002B35C9">
              <w:rPr>
                <w:b w:val="0"/>
                <w:bCs/>
                <w:sz w:val="20"/>
              </w:rPr>
              <w:t xml:space="preserve">.  </w:t>
            </w:r>
          </w:p>
          <w:p w:rsidR="007130CD" w:rsidRPr="003E7FFC" w:rsidRDefault="007130CD" w:rsidP="00DC6A71">
            <w:pPr>
              <w:pStyle w:val="Heading1"/>
              <w:numPr>
                <w:ilvl w:val="0"/>
                <w:numId w:val="0"/>
              </w:numPr>
              <w:jc w:val="both"/>
              <w:rPr>
                <w:b w:val="0"/>
                <w:sz w:val="20"/>
              </w:rPr>
            </w:pPr>
            <w:r w:rsidRPr="003E7FFC">
              <w:rPr>
                <w:b w:val="0"/>
                <w:sz w:val="20"/>
              </w:rPr>
              <w:t xml:space="preserve">The following definition for </w:t>
            </w:r>
            <w:r w:rsidR="00A34C9E">
              <w:rPr>
                <w:b w:val="0"/>
                <w:sz w:val="20"/>
              </w:rPr>
              <w:t>“</w:t>
            </w:r>
            <w:r w:rsidRPr="003E7FFC">
              <w:rPr>
                <w:b w:val="0"/>
                <w:sz w:val="20"/>
              </w:rPr>
              <w:t>NYMEX</w:t>
            </w:r>
            <w:r w:rsidR="00A34C9E">
              <w:rPr>
                <w:b w:val="0"/>
                <w:sz w:val="20"/>
              </w:rPr>
              <w:t>”</w:t>
            </w:r>
            <w:r w:rsidRPr="003E7FFC">
              <w:rPr>
                <w:b w:val="0"/>
                <w:sz w:val="20"/>
              </w:rPr>
              <w:t xml:space="preserve"> is added as follows:</w:t>
            </w:r>
          </w:p>
          <w:p w:rsidR="007130CD" w:rsidRPr="00DC6A71" w:rsidRDefault="00A34C9E" w:rsidP="00DC6A71">
            <w:pPr>
              <w:pStyle w:val="Heading1"/>
              <w:numPr>
                <w:ilvl w:val="0"/>
                <w:numId w:val="0"/>
              </w:numPr>
              <w:ind w:left="720"/>
              <w:jc w:val="both"/>
              <w:rPr>
                <w:b w:val="0"/>
                <w:bCs/>
                <w:sz w:val="20"/>
              </w:rPr>
            </w:pPr>
            <w:r>
              <w:rPr>
                <w:sz w:val="20"/>
              </w:rPr>
              <w:t>“</w:t>
            </w:r>
            <w:r w:rsidR="007130CD" w:rsidRPr="003E7FFC">
              <w:rPr>
                <w:sz w:val="20"/>
                <w:u w:val="single"/>
              </w:rPr>
              <w:t>NYMEX</w:t>
            </w:r>
            <w:r>
              <w:rPr>
                <w:sz w:val="20"/>
              </w:rPr>
              <w:t>”</w:t>
            </w:r>
            <w:r w:rsidR="007130CD" w:rsidRPr="003E7FFC">
              <w:rPr>
                <w:sz w:val="20"/>
              </w:rPr>
              <w:t xml:space="preserve"> </w:t>
            </w:r>
            <w:r w:rsidR="007130CD" w:rsidRPr="003E7FFC">
              <w:rPr>
                <w:b w:val="0"/>
                <w:bCs/>
                <w:sz w:val="20"/>
              </w:rPr>
              <w:t>means the New York Mercantile Exchange, Inc.</w:t>
            </w:r>
          </w:p>
          <w:p w:rsidR="007130CD" w:rsidRPr="003E7FFC" w:rsidRDefault="007130CD" w:rsidP="00DC6A71">
            <w:pPr>
              <w:pStyle w:val="Heading1"/>
              <w:numPr>
                <w:ilvl w:val="0"/>
                <w:numId w:val="0"/>
              </w:numPr>
              <w:jc w:val="both"/>
              <w:rPr>
                <w:b w:val="0"/>
                <w:sz w:val="20"/>
              </w:rPr>
            </w:pPr>
            <w:r w:rsidRPr="003E7FFC">
              <w:rPr>
                <w:b w:val="0"/>
                <w:sz w:val="20"/>
              </w:rPr>
              <w:t xml:space="preserve">The definition of </w:t>
            </w:r>
            <w:r w:rsidR="00A34C9E">
              <w:rPr>
                <w:b w:val="0"/>
                <w:sz w:val="20"/>
              </w:rPr>
              <w:t>“</w:t>
            </w:r>
            <w:r w:rsidRPr="003E7FFC">
              <w:rPr>
                <w:b w:val="0"/>
                <w:sz w:val="20"/>
              </w:rPr>
              <w:t>Performance Assurance</w:t>
            </w:r>
            <w:r w:rsidR="00A34C9E">
              <w:rPr>
                <w:b w:val="0"/>
                <w:sz w:val="20"/>
              </w:rPr>
              <w:t>”</w:t>
            </w:r>
            <w:r w:rsidRPr="003E7FFC">
              <w:rPr>
                <w:b w:val="0"/>
                <w:sz w:val="20"/>
              </w:rPr>
              <w:t xml:space="preserve"> is amended to read, in its entirety, as follows:</w:t>
            </w:r>
          </w:p>
          <w:p w:rsidR="007130CD" w:rsidRPr="00DC6A71" w:rsidRDefault="00A34C9E" w:rsidP="00DC6A71">
            <w:pPr>
              <w:pStyle w:val="Heading1"/>
              <w:numPr>
                <w:ilvl w:val="0"/>
                <w:numId w:val="0"/>
              </w:numPr>
              <w:ind w:left="766"/>
              <w:jc w:val="both"/>
              <w:rPr>
                <w:b w:val="0"/>
                <w:sz w:val="20"/>
              </w:rPr>
            </w:pPr>
            <w:r>
              <w:rPr>
                <w:sz w:val="20"/>
              </w:rPr>
              <w:t>“</w:t>
            </w:r>
            <w:r w:rsidR="007130CD" w:rsidRPr="003E7FFC">
              <w:rPr>
                <w:sz w:val="20"/>
                <w:u w:val="single"/>
              </w:rPr>
              <w:t>Performance Assurance</w:t>
            </w:r>
            <w:r>
              <w:rPr>
                <w:sz w:val="20"/>
              </w:rPr>
              <w:t>”</w:t>
            </w:r>
            <w:r w:rsidR="007130CD" w:rsidRPr="003E7FFC">
              <w:rPr>
                <w:b w:val="0"/>
                <w:sz w:val="20"/>
              </w:rPr>
              <w:t xml:space="preserve"> means all Eligible Collateral, all other property acceptable to the Party to which it is Transferred, and all proceeds thereof, that has been Transferred to or received by a Party hereunder and not subsequently Transferred to the other Party pursuant to Paragraph 5 or otherwise received by the other Party</w:t>
            </w:r>
            <w:r w:rsidR="002B35C9">
              <w:rPr>
                <w:b w:val="0"/>
                <w:sz w:val="20"/>
              </w:rPr>
              <w:t xml:space="preserve">.  </w:t>
            </w:r>
            <w:r w:rsidR="007130CD" w:rsidRPr="003E7FFC">
              <w:rPr>
                <w:b w:val="0"/>
                <w:sz w:val="20"/>
              </w:rPr>
              <w:t>Any Interest Amount or portion thereof not Transferred pursuant to Paragraph 6(a)(iii) will not constitute Performance Assurance</w:t>
            </w:r>
            <w:r w:rsidR="002B35C9">
              <w:rPr>
                <w:b w:val="0"/>
                <w:sz w:val="20"/>
              </w:rPr>
              <w:t xml:space="preserve">.  </w:t>
            </w:r>
            <w:r w:rsidR="007130CD" w:rsidRPr="003E7FFC">
              <w:rPr>
                <w:b w:val="0"/>
                <w:sz w:val="20"/>
              </w:rPr>
              <w:t>Any guaranty agreement executed by a Guarantor of a Party shall not constitute Performance Assurance hereunder.</w:t>
            </w:r>
          </w:p>
          <w:p w:rsidR="00CD525C" w:rsidRPr="003E7FFC" w:rsidRDefault="007130CD" w:rsidP="00DC6A71">
            <w:pPr>
              <w:pStyle w:val="BodyTextFirstIndent"/>
              <w:ind w:firstLine="0"/>
              <w:rPr>
                <w:sz w:val="20"/>
              </w:rPr>
            </w:pPr>
            <w:r w:rsidRPr="003E7FFC">
              <w:rPr>
                <w:sz w:val="20"/>
              </w:rPr>
              <w:t xml:space="preserve">The definition of </w:t>
            </w:r>
            <w:r w:rsidR="00A34C9E">
              <w:rPr>
                <w:sz w:val="20"/>
              </w:rPr>
              <w:t>“</w:t>
            </w:r>
            <w:r w:rsidRPr="003E7FFC">
              <w:rPr>
                <w:sz w:val="20"/>
              </w:rPr>
              <w:t>Qualified Institution</w:t>
            </w:r>
            <w:r w:rsidR="00A34C9E">
              <w:rPr>
                <w:sz w:val="20"/>
              </w:rPr>
              <w:t>”</w:t>
            </w:r>
            <w:r w:rsidRPr="003E7FFC">
              <w:rPr>
                <w:sz w:val="20"/>
              </w:rPr>
              <w:t xml:space="preserve"> is amended by deleting</w:t>
            </w:r>
            <w:r w:rsidRPr="003E7FFC">
              <w:t xml:space="preserve"> </w:t>
            </w:r>
            <w:r w:rsidR="00A34C9E">
              <w:rPr>
                <w:sz w:val="20"/>
              </w:rPr>
              <w:t>“</w:t>
            </w:r>
            <w:r w:rsidRPr="003E7FFC">
              <w:rPr>
                <w:sz w:val="20"/>
              </w:rPr>
              <w:t>capital and surplus</w:t>
            </w:r>
            <w:r w:rsidR="00A34C9E">
              <w:rPr>
                <w:sz w:val="20"/>
              </w:rPr>
              <w:t>”</w:t>
            </w:r>
            <w:r w:rsidRPr="003E7FFC">
              <w:rPr>
                <w:sz w:val="20"/>
              </w:rPr>
              <w:t xml:space="preserve"> an</w:t>
            </w:r>
            <w:r w:rsidR="00F57792" w:rsidRPr="003E7FFC">
              <w:rPr>
                <w:sz w:val="20"/>
              </w:rPr>
              <w:t>d</w:t>
            </w:r>
            <w:r w:rsidRPr="003E7FFC">
              <w:rPr>
                <w:sz w:val="20"/>
              </w:rPr>
              <w:t xml:space="preserve"> replacing it with </w:t>
            </w:r>
            <w:r w:rsidR="00A34C9E">
              <w:rPr>
                <w:sz w:val="20"/>
              </w:rPr>
              <w:t>“</w:t>
            </w:r>
            <w:r w:rsidRPr="003E7FFC">
              <w:rPr>
                <w:sz w:val="20"/>
              </w:rPr>
              <w:t>capital surplus</w:t>
            </w:r>
            <w:r w:rsidR="00A34C9E">
              <w:rPr>
                <w:sz w:val="20"/>
              </w:rPr>
              <w:t>”</w:t>
            </w:r>
            <w:r w:rsidRPr="003E7FFC">
              <w:rPr>
                <w:sz w:val="20"/>
              </w:rPr>
              <w:t>.</w:t>
            </w:r>
          </w:p>
          <w:p w:rsidR="00CD525C" w:rsidRPr="003E7FFC" w:rsidRDefault="007130CD" w:rsidP="00DC6A71">
            <w:pPr>
              <w:pStyle w:val="BodyTextFirstIndent"/>
              <w:ind w:firstLine="0"/>
              <w:rPr>
                <w:sz w:val="20"/>
              </w:rPr>
            </w:pPr>
            <w:r w:rsidRPr="003E7FFC">
              <w:rPr>
                <w:sz w:val="20"/>
              </w:rPr>
              <w:t xml:space="preserve">The definition of </w:t>
            </w:r>
            <w:r w:rsidR="00A34C9E">
              <w:rPr>
                <w:sz w:val="20"/>
              </w:rPr>
              <w:t>“</w:t>
            </w:r>
            <w:r w:rsidRPr="003E7FFC">
              <w:rPr>
                <w:sz w:val="20"/>
              </w:rPr>
              <w:t>Secured Party</w:t>
            </w:r>
            <w:r w:rsidR="00A34C9E">
              <w:rPr>
                <w:sz w:val="20"/>
              </w:rPr>
              <w:t>”</w:t>
            </w:r>
            <w:r w:rsidRPr="003E7FFC">
              <w:rPr>
                <w:sz w:val="20"/>
              </w:rPr>
              <w:t xml:space="preserve"> is amended by deleting </w:t>
            </w:r>
            <w:r w:rsidR="00A34C9E">
              <w:rPr>
                <w:sz w:val="20"/>
              </w:rPr>
              <w:t>“</w:t>
            </w:r>
            <w:r w:rsidRPr="003E7FFC">
              <w:rPr>
                <w:sz w:val="20"/>
              </w:rPr>
              <w:t>Paragraph 3(b)</w:t>
            </w:r>
            <w:r w:rsidR="00A34C9E">
              <w:rPr>
                <w:sz w:val="20"/>
              </w:rPr>
              <w:t>”</w:t>
            </w:r>
            <w:r w:rsidRPr="003E7FFC">
              <w:rPr>
                <w:sz w:val="20"/>
              </w:rPr>
              <w:t xml:space="preserve"> and replacing it with </w:t>
            </w:r>
            <w:r w:rsidR="00A34C9E">
              <w:rPr>
                <w:sz w:val="20"/>
              </w:rPr>
              <w:t>“</w:t>
            </w:r>
            <w:r w:rsidRPr="003E7FFC">
              <w:rPr>
                <w:sz w:val="20"/>
              </w:rPr>
              <w:t>Paragraph 3(a)</w:t>
            </w:r>
            <w:r w:rsidR="00A34C9E">
              <w:rPr>
                <w:sz w:val="20"/>
              </w:rPr>
              <w:t>”</w:t>
            </w:r>
            <w:r w:rsidRPr="003E7FFC">
              <w:rPr>
                <w:sz w:val="20"/>
              </w:rPr>
              <w:t>.</w:t>
            </w:r>
          </w:p>
          <w:p w:rsidR="007130CD" w:rsidRPr="003E7FFC" w:rsidRDefault="007130CD" w:rsidP="00DC6A71">
            <w:pPr>
              <w:pStyle w:val="Heading1"/>
              <w:numPr>
                <w:ilvl w:val="0"/>
                <w:numId w:val="0"/>
              </w:numPr>
              <w:jc w:val="both"/>
              <w:rPr>
                <w:b w:val="0"/>
                <w:sz w:val="20"/>
              </w:rPr>
            </w:pPr>
            <w:r w:rsidRPr="003E7FFC">
              <w:rPr>
                <w:b w:val="0"/>
                <w:sz w:val="20"/>
              </w:rPr>
              <w:t xml:space="preserve">The following definition for </w:t>
            </w:r>
            <w:r w:rsidR="00A34C9E">
              <w:rPr>
                <w:b w:val="0"/>
                <w:sz w:val="20"/>
              </w:rPr>
              <w:t>“</w:t>
            </w:r>
            <w:r w:rsidRPr="003E7FFC">
              <w:rPr>
                <w:b w:val="0"/>
                <w:sz w:val="20"/>
              </w:rPr>
              <w:t>Tangible Net Worth</w:t>
            </w:r>
            <w:r w:rsidR="00A34C9E">
              <w:rPr>
                <w:b w:val="0"/>
                <w:sz w:val="20"/>
              </w:rPr>
              <w:t>”</w:t>
            </w:r>
            <w:r w:rsidRPr="003E7FFC">
              <w:rPr>
                <w:b w:val="0"/>
                <w:sz w:val="20"/>
              </w:rPr>
              <w:t xml:space="preserve"> or </w:t>
            </w:r>
            <w:r w:rsidR="00A34C9E">
              <w:rPr>
                <w:b w:val="0"/>
                <w:sz w:val="20"/>
              </w:rPr>
              <w:t>“</w:t>
            </w:r>
            <w:r w:rsidRPr="003E7FFC">
              <w:rPr>
                <w:b w:val="0"/>
                <w:sz w:val="20"/>
              </w:rPr>
              <w:t>TNW</w:t>
            </w:r>
            <w:r w:rsidR="00A34C9E">
              <w:rPr>
                <w:b w:val="0"/>
                <w:sz w:val="20"/>
              </w:rPr>
              <w:t>”</w:t>
            </w:r>
            <w:r w:rsidRPr="003E7FFC">
              <w:rPr>
                <w:b w:val="0"/>
                <w:sz w:val="20"/>
              </w:rPr>
              <w:t xml:space="preserve"> is added as follows:</w:t>
            </w:r>
          </w:p>
          <w:p w:rsidR="007130CD" w:rsidRPr="00DC6A71" w:rsidRDefault="00A34C9E" w:rsidP="00DC6A71">
            <w:pPr>
              <w:pStyle w:val="BodyText"/>
              <w:spacing w:after="240"/>
              <w:ind w:left="766"/>
              <w:jc w:val="both"/>
              <w:rPr>
                <w:sz w:val="20"/>
              </w:rPr>
            </w:pPr>
            <w:r>
              <w:rPr>
                <w:b/>
                <w:bCs/>
                <w:sz w:val="20"/>
              </w:rPr>
              <w:t>“</w:t>
            </w:r>
            <w:r w:rsidR="007130CD" w:rsidRPr="003E7FFC">
              <w:rPr>
                <w:b/>
                <w:bCs/>
                <w:sz w:val="20"/>
                <w:u w:val="single"/>
              </w:rPr>
              <w:t>Tangible Net Worth</w:t>
            </w:r>
            <w:r>
              <w:rPr>
                <w:b/>
                <w:bCs/>
                <w:sz w:val="20"/>
              </w:rPr>
              <w:t>”</w:t>
            </w:r>
            <w:r w:rsidR="007130CD" w:rsidRPr="003E7FFC">
              <w:rPr>
                <w:sz w:val="20"/>
              </w:rPr>
              <w:t xml:space="preserve"> or </w:t>
            </w:r>
            <w:r>
              <w:rPr>
                <w:sz w:val="20"/>
              </w:rPr>
              <w:t>“</w:t>
            </w:r>
            <w:r w:rsidR="007130CD" w:rsidRPr="003E7FFC">
              <w:rPr>
                <w:b/>
                <w:bCs/>
                <w:sz w:val="20"/>
                <w:u w:val="single"/>
              </w:rPr>
              <w:t>TNW</w:t>
            </w:r>
            <w:r>
              <w:rPr>
                <w:b/>
                <w:bCs/>
                <w:sz w:val="20"/>
              </w:rPr>
              <w:t>”</w:t>
            </w:r>
            <w:r w:rsidR="007130CD" w:rsidRPr="003E7FFC">
              <w:rPr>
                <w:sz w:val="20"/>
              </w:rPr>
              <w:t xml:space="preserve"> means total assets </w:t>
            </w:r>
            <w:proofErr w:type="gramStart"/>
            <w:r w:rsidR="007130CD" w:rsidRPr="003E7FFC">
              <w:rPr>
                <w:sz w:val="20"/>
              </w:rPr>
              <w:t>less</w:t>
            </w:r>
            <w:proofErr w:type="gramEnd"/>
            <w:r w:rsidR="007130CD" w:rsidRPr="003E7FFC">
              <w:rPr>
                <w:sz w:val="20"/>
              </w:rPr>
              <w:t xml:space="preserve"> intangible assets and total liabilities</w:t>
            </w:r>
            <w:r w:rsidR="002B35C9">
              <w:rPr>
                <w:sz w:val="20"/>
              </w:rPr>
              <w:t xml:space="preserve">.  </w:t>
            </w:r>
            <w:r w:rsidR="007130CD" w:rsidRPr="003E7FFC">
              <w:rPr>
                <w:sz w:val="20"/>
              </w:rPr>
              <w:t>Intangible assets include benefits such as goodwill, patents, copyrights and trademarks.</w:t>
            </w:r>
          </w:p>
          <w:p w:rsidR="007130CD" w:rsidRPr="003E7FFC" w:rsidRDefault="007130CD" w:rsidP="00DC6A71">
            <w:pPr>
              <w:pStyle w:val="BodyTextIndent20"/>
              <w:spacing w:after="240"/>
              <w:ind w:left="0"/>
              <w:jc w:val="both"/>
              <w:rPr>
                <w:b/>
                <w:bCs/>
                <w:u w:val="single"/>
              </w:rPr>
            </w:pPr>
            <w:r w:rsidRPr="003E7FFC">
              <w:rPr>
                <w:b/>
                <w:bCs/>
              </w:rPr>
              <w:lastRenderedPageBreak/>
              <w:t>3</w:t>
            </w:r>
            <w:r w:rsidR="002B35C9">
              <w:rPr>
                <w:b/>
                <w:bCs/>
              </w:rPr>
              <w:t xml:space="preserve">.  </w:t>
            </w:r>
            <w:r w:rsidRPr="003E7FFC">
              <w:rPr>
                <w:b/>
                <w:bCs/>
              </w:rPr>
              <w:t>Paragraph 3</w:t>
            </w:r>
            <w:r w:rsidR="002B35C9">
              <w:rPr>
                <w:b/>
                <w:bCs/>
              </w:rPr>
              <w:t xml:space="preserve">.  </w:t>
            </w:r>
            <w:r w:rsidRPr="003E7FFC">
              <w:rPr>
                <w:b/>
                <w:bCs/>
                <w:u w:val="single"/>
              </w:rPr>
              <w:t>Calculations of Collateral Requirement</w:t>
            </w:r>
          </w:p>
          <w:p w:rsidR="007130CD" w:rsidRPr="003E7FFC" w:rsidRDefault="007130CD" w:rsidP="00DC6A71">
            <w:pPr>
              <w:pStyle w:val="Heading1"/>
              <w:numPr>
                <w:ilvl w:val="0"/>
                <w:numId w:val="0"/>
              </w:numPr>
              <w:jc w:val="both"/>
              <w:rPr>
                <w:b w:val="0"/>
                <w:sz w:val="20"/>
              </w:rPr>
            </w:pPr>
            <w:r w:rsidRPr="003E7FFC">
              <w:rPr>
                <w:b w:val="0"/>
                <w:sz w:val="20"/>
              </w:rPr>
              <w:t>Subparagraph (a) is amended to read, in its entirety, as follows:</w:t>
            </w:r>
          </w:p>
          <w:p w:rsidR="00B82A1F" w:rsidRDefault="007130CD" w:rsidP="00DC6A71">
            <w:pPr>
              <w:pStyle w:val="BodyText"/>
              <w:spacing w:after="240"/>
              <w:ind w:left="766"/>
              <w:jc w:val="both"/>
              <w:rPr>
                <w:sz w:val="20"/>
              </w:rPr>
            </w:pPr>
            <w:r w:rsidRPr="003E7FFC">
              <w:rPr>
                <w:sz w:val="20"/>
              </w:rPr>
              <w:t xml:space="preserve">(a) On any Calculation Date, the </w:t>
            </w:r>
            <w:r w:rsidR="00A34C9E">
              <w:rPr>
                <w:sz w:val="20"/>
              </w:rPr>
              <w:t>“</w:t>
            </w:r>
            <w:r w:rsidRPr="003E7FFC">
              <w:rPr>
                <w:sz w:val="20"/>
              </w:rPr>
              <w:t>Exposure Amount</w:t>
            </w:r>
            <w:r w:rsidR="00A34C9E">
              <w:rPr>
                <w:sz w:val="20"/>
              </w:rPr>
              <w:t>”</w:t>
            </w:r>
            <w:r w:rsidRPr="003E7FFC">
              <w:rPr>
                <w:sz w:val="20"/>
              </w:rPr>
              <w:t xml:space="preserve"> for each Party shall be calculated using information from </w:t>
            </w:r>
            <w:r w:rsidR="000F2E54" w:rsidRPr="003E7FFC">
              <w:rPr>
                <w:sz w:val="20"/>
              </w:rPr>
              <w:t>the Mark to Market Value Calculation Methodology set forth in Schedule 3 hereto</w:t>
            </w:r>
            <w:r w:rsidR="000F2E54" w:rsidRPr="003E7FFC" w:rsidDel="000F2E54">
              <w:rPr>
                <w:sz w:val="20"/>
              </w:rPr>
              <w:t xml:space="preserve"> </w:t>
            </w:r>
            <w:r w:rsidRPr="003E7FFC">
              <w:rPr>
                <w:sz w:val="20"/>
              </w:rPr>
              <w:t>for all Transactions for which there are any Obligations remaining unpaid or unperformed, by calculating each Party</w:t>
            </w:r>
            <w:r w:rsidR="00A34C9E">
              <w:rPr>
                <w:sz w:val="20"/>
              </w:rPr>
              <w:t>’</w:t>
            </w:r>
            <w:r w:rsidRPr="003E7FFC">
              <w:rPr>
                <w:sz w:val="20"/>
              </w:rPr>
              <w:t>s Exposure to the other Party in respect of each such Transaction and determining the net aggregate sum of all Exposures for all Transactions for each Party</w:t>
            </w:r>
            <w:r w:rsidR="002B35C9">
              <w:rPr>
                <w:sz w:val="20"/>
              </w:rPr>
              <w:t xml:space="preserve">.  </w:t>
            </w:r>
            <w:r w:rsidRPr="003E7FFC">
              <w:rPr>
                <w:sz w:val="20"/>
              </w:rPr>
              <w:t xml:space="preserve">The Party having the greater Exposure Amount based on information from the Brokers at any time (the </w:t>
            </w:r>
            <w:r w:rsidR="00A34C9E">
              <w:rPr>
                <w:sz w:val="20"/>
              </w:rPr>
              <w:t>“</w:t>
            </w:r>
            <w:r w:rsidRPr="003E7FFC">
              <w:rPr>
                <w:sz w:val="20"/>
              </w:rPr>
              <w:t>Secured Party</w:t>
            </w:r>
            <w:r w:rsidR="00A34C9E">
              <w:rPr>
                <w:sz w:val="20"/>
              </w:rPr>
              <w:t>”</w:t>
            </w:r>
            <w:r w:rsidRPr="003E7FFC">
              <w:rPr>
                <w:sz w:val="20"/>
              </w:rPr>
              <w:t xml:space="preserve">) shall be deemed to have a </w:t>
            </w:r>
            <w:r w:rsidR="00A34C9E">
              <w:rPr>
                <w:sz w:val="20"/>
              </w:rPr>
              <w:t>“</w:t>
            </w:r>
            <w:r w:rsidRPr="003E7FFC">
              <w:rPr>
                <w:sz w:val="20"/>
              </w:rPr>
              <w:t>Net Exposure</w:t>
            </w:r>
            <w:r w:rsidR="00A34C9E">
              <w:rPr>
                <w:sz w:val="20"/>
              </w:rPr>
              <w:t>”</w:t>
            </w:r>
            <w:r w:rsidRPr="003E7FFC">
              <w:rPr>
                <w:sz w:val="20"/>
              </w:rPr>
              <w:t xml:space="preserve"> to the other Party equal to the Secured Party</w:t>
            </w:r>
            <w:r w:rsidR="00A34C9E">
              <w:rPr>
                <w:sz w:val="20"/>
              </w:rPr>
              <w:t>’</w:t>
            </w:r>
            <w:r w:rsidRPr="003E7FFC">
              <w:rPr>
                <w:sz w:val="20"/>
              </w:rPr>
              <w:t>s Exposure Amount</w:t>
            </w:r>
            <w:r w:rsidR="002B35C9">
              <w:rPr>
                <w:sz w:val="20"/>
              </w:rPr>
              <w:t xml:space="preserve">.  </w:t>
            </w:r>
          </w:p>
          <w:p w:rsidR="007130CD" w:rsidRPr="003E7FFC" w:rsidRDefault="007130CD" w:rsidP="00DC6A71">
            <w:pPr>
              <w:pStyle w:val="BodyTextFirstIndent"/>
              <w:ind w:firstLine="0"/>
              <w:rPr>
                <w:sz w:val="20"/>
              </w:rPr>
            </w:pPr>
            <w:r w:rsidRPr="003E7FFC">
              <w:rPr>
                <w:sz w:val="20"/>
              </w:rPr>
              <w:t>Subparagraph 3(b) is amended by revising the first sentence to read in its entirety, as follows:</w:t>
            </w:r>
          </w:p>
          <w:p w:rsidR="00B82A1F" w:rsidRPr="00DC6A71" w:rsidRDefault="00A34C9E" w:rsidP="00DC6A71">
            <w:pPr>
              <w:pStyle w:val="BodyTextFirstIndent"/>
              <w:ind w:left="720" w:firstLine="0"/>
              <w:rPr>
                <w:sz w:val="20"/>
              </w:rPr>
            </w:pPr>
            <w:r>
              <w:rPr>
                <w:sz w:val="20"/>
              </w:rPr>
              <w:t>“</w:t>
            </w:r>
            <w:r w:rsidR="007130CD" w:rsidRPr="003E7FFC">
              <w:rPr>
                <w:sz w:val="20"/>
              </w:rPr>
              <w:t xml:space="preserve">The </w:t>
            </w:r>
            <w:r>
              <w:rPr>
                <w:sz w:val="20"/>
              </w:rPr>
              <w:t>“</w:t>
            </w:r>
            <w:r w:rsidR="007130CD" w:rsidRPr="003E7FFC">
              <w:rPr>
                <w:sz w:val="20"/>
              </w:rPr>
              <w:t>Collateral Requirement</w:t>
            </w:r>
            <w:r>
              <w:rPr>
                <w:sz w:val="20"/>
              </w:rPr>
              <w:t>”</w:t>
            </w:r>
            <w:r w:rsidR="007130CD" w:rsidRPr="003E7FFC">
              <w:rPr>
                <w:sz w:val="20"/>
              </w:rPr>
              <w:t xml:space="preserve"> for Party B shall be zero</w:t>
            </w:r>
            <w:r w:rsidR="002B35C9">
              <w:rPr>
                <w:sz w:val="20"/>
              </w:rPr>
              <w:t xml:space="preserve">.  </w:t>
            </w:r>
            <w:r w:rsidR="007130CD" w:rsidRPr="003E7FFC">
              <w:rPr>
                <w:sz w:val="20"/>
              </w:rPr>
              <w:t xml:space="preserve">The </w:t>
            </w:r>
            <w:r>
              <w:rPr>
                <w:sz w:val="20"/>
              </w:rPr>
              <w:t>“</w:t>
            </w:r>
            <w:r w:rsidR="007130CD" w:rsidRPr="003E7FFC">
              <w:rPr>
                <w:sz w:val="20"/>
              </w:rPr>
              <w:t xml:space="preserve">Collateral Requirement for Party A (the </w:t>
            </w:r>
            <w:r>
              <w:rPr>
                <w:sz w:val="20"/>
              </w:rPr>
              <w:t>“</w:t>
            </w:r>
            <w:r w:rsidR="007130CD" w:rsidRPr="003E7FFC">
              <w:rPr>
                <w:sz w:val="20"/>
              </w:rPr>
              <w:t>Pledging Party</w:t>
            </w:r>
            <w:r>
              <w:rPr>
                <w:sz w:val="20"/>
              </w:rPr>
              <w:t>”</w:t>
            </w:r>
            <w:r w:rsidR="007130CD" w:rsidRPr="003E7FFC">
              <w:rPr>
                <w:sz w:val="20"/>
              </w:rPr>
              <w:t>) means the Secured Party</w:t>
            </w:r>
            <w:r>
              <w:rPr>
                <w:sz w:val="20"/>
              </w:rPr>
              <w:t>’</w:t>
            </w:r>
            <w:r w:rsidR="007130CD" w:rsidRPr="003E7FFC">
              <w:rPr>
                <w:sz w:val="20"/>
              </w:rPr>
              <w:t>s Net Exposure minus the sum of:</w:t>
            </w:r>
            <w:r>
              <w:rPr>
                <w:sz w:val="20"/>
              </w:rPr>
              <w:t>”</w:t>
            </w:r>
          </w:p>
          <w:p w:rsidR="007130CD" w:rsidRPr="003E7FFC" w:rsidRDefault="007130CD" w:rsidP="00DC6A71">
            <w:pPr>
              <w:pStyle w:val="Heading1"/>
              <w:numPr>
                <w:ilvl w:val="0"/>
                <w:numId w:val="0"/>
              </w:numPr>
              <w:jc w:val="both"/>
              <w:rPr>
                <w:b w:val="0"/>
                <w:sz w:val="20"/>
              </w:rPr>
            </w:pPr>
            <w:r w:rsidRPr="003E7FFC">
              <w:rPr>
                <w:b w:val="0"/>
                <w:sz w:val="20"/>
              </w:rPr>
              <w:t>Subparagraph (b</w:t>
            </w:r>
            <w:r w:rsidR="002E33B8" w:rsidRPr="003E7FFC">
              <w:rPr>
                <w:b w:val="0"/>
                <w:sz w:val="20"/>
              </w:rPr>
              <w:t>)(</w:t>
            </w:r>
            <w:r w:rsidRPr="003E7FFC">
              <w:rPr>
                <w:b w:val="0"/>
                <w:sz w:val="20"/>
              </w:rPr>
              <w:t>2) is amended to read, in its entirety, as follows:</w:t>
            </w:r>
          </w:p>
          <w:p w:rsidR="007130CD" w:rsidRPr="00DC6A71" w:rsidRDefault="007130CD" w:rsidP="00DC6A71">
            <w:pPr>
              <w:pStyle w:val="BodyText"/>
              <w:spacing w:after="240"/>
              <w:ind w:left="766"/>
              <w:jc w:val="both"/>
              <w:rPr>
                <w:sz w:val="20"/>
              </w:rPr>
            </w:pPr>
            <w:r w:rsidRPr="003E7FFC">
              <w:rPr>
                <w:sz w:val="20"/>
              </w:rPr>
              <w:t>(2) the amount of Cash previously Transferred to the Secured Party and the amount of Cash held by the Secured Party as Performance Assurance as a result of drawing under any Letter of Credit; plus</w:t>
            </w:r>
          </w:p>
          <w:p w:rsidR="007130CD" w:rsidRPr="003E7FFC" w:rsidRDefault="007130CD" w:rsidP="00DC6A71">
            <w:pPr>
              <w:pStyle w:val="BodyTextIndent20"/>
              <w:spacing w:after="240"/>
              <w:ind w:left="0"/>
              <w:jc w:val="both"/>
              <w:rPr>
                <w:b/>
                <w:bCs/>
                <w:u w:val="single"/>
              </w:rPr>
            </w:pPr>
            <w:r w:rsidRPr="003E7FFC">
              <w:rPr>
                <w:b/>
                <w:bCs/>
              </w:rPr>
              <w:t>4</w:t>
            </w:r>
            <w:r w:rsidR="002B35C9">
              <w:rPr>
                <w:b/>
                <w:bCs/>
              </w:rPr>
              <w:t xml:space="preserve">.  </w:t>
            </w:r>
            <w:r w:rsidRPr="003E7FFC">
              <w:rPr>
                <w:b/>
                <w:bCs/>
              </w:rPr>
              <w:t>Paragraph 4</w:t>
            </w:r>
            <w:r w:rsidR="002B35C9">
              <w:rPr>
                <w:b/>
                <w:bCs/>
              </w:rPr>
              <w:t xml:space="preserve">.  </w:t>
            </w:r>
            <w:r w:rsidRPr="003E7FFC">
              <w:rPr>
                <w:b/>
                <w:bCs/>
                <w:u w:val="single"/>
              </w:rPr>
              <w:t>Delivery of Performance Assurance</w:t>
            </w:r>
          </w:p>
          <w:p w:rsidR="007130CD" w:rsidRPr="003E7FFC" w:rsidRDefault="007130CD" w:rsidP="00DC6A71">
            <w:pPr>
              <w:pStyle w:val="BodyText"/>
              <w:spacing w:after="240"/>
              <w:ind w:left="720"/>
              <w:jc w:val="both"/>
              <w:rPr>
                <w:kern w:val="28"/>
                <w:sz w:val="20"/>
                <w:u w:val="single"/>
              </w:rPr>
            </w:pPr>
            <w:r w:rsidRPr="003E7FFC">
              <w:rPr>
                <w:kern w:val="28"/>
                <w:sz w:val="20"/>
              </w:rPr>
              <w:t xml:space="preserve">Paragraph 4 is replaced in its entirety with the following: </w:t>
            </w:r>
          </w:p>
          <w:p w:rsidR="007130CD" w:rsidRPr="003E7FFC" w:rsidRDefault="007130CD" w:rsidP="00DC6A71">
            <w:pPr>
              <w:pStyle w:val="BodyText"/>
              <w:spacing w:after="240"/>
              <w:ind w:left="766"/>
              <w:jc w:val="both"/>
              <w:rPr>
                <w:sz w:val="20"/>
              </w:rPr>
            </w:pPr>
            <w:r w:rsidRPr="003E7FFC">
              <w:rPr>
                <w:sz w:val="20"/>
              </w:rPr>
              <w:t>On any Calculation Date on which (a) no Event of Default or Potential Event of Default has occurred and is continuing with respect to the Secured  Party, (b) no Early Termination Date has occurred or been designated as a result of an Event of Default with respect to the Secured Party for which there exist any unsatisfied payment Obligations, and (c) the Pledging Party</w:t>
            </w:r>
            <w:r w:rsidR="00A34C9E">
              <w:rPr>
                <w:sz w:val="20"/>
              </w:rPr>
              <w:t>’</w:t>
            </w:r>
            <w:r w:rsidRPr="003E7FFC">
              <w:rPr>
                <w:sz w:val="20"/>
              </w:rPr>
              <w:t xml:space="preserve">s Collateral Requirement equals or exceeds its Minimum Transfer Amount, </w:t>
            </w:r>
            <w:r w:rsidR="007B76E1" w:rsidRPr="003E7FFC">
              <w:rPr>
                <w:sz w:val="20"/>
              </w:rPr>
              <w:t xml:space="preserve">after first rounding </w:t>
            </w:r>
            <w:r w:rsidR="00C96510" w:rsidRPr="003E7FFC">
              <w:rPr>
                <w:sz w:val="20"/>
              </w:rPr>
              <w:t xml:space="preserve">up </w:t>
            </w:r>
            <w:r w:rsidR="007B76E1" w:rsidRPr="003E7FFC">
              <w:rPr>
                <w:sz w:val="20"/>
              </w:rPr>
              <w:t>to the nearest integer multiple of the Rounding amount</w:t>
            </w:r>
            <w:r w:rsidR="00C96510" w:rsidRPr="003E7FFC">
              <w:rPr>
                <w:sz w:val="20"/>
              </w:rPr>
              <w:t xml:space="preserve">, </w:t>
            </w:r>
            <w:r w:rsidRPr="003E7FFC">
              <w:rPr>
                <w:sz w:val="20"/>
              </w:rPr>
              <w:t>then the Secured Party may demand that the Pledging Party Transfer to the Secured Party, and the Pledging Party shall, after receiving such notice from the Secured Party, Transfer, or cause to be Transferred to the Secured Party, Performance Assurance for the benefit of the Secured Party, having a Collateral Value at least equal to the Pledging Party</w:t>
            </w:r>
            <w:r w:rsidR="00A34C9E">
              <w:rPr>
                <w:sz w:val="20"/>
              </w:rPr>
              <w:t>’</w:t>
            </w:r>
            <w:r w:rsidRPr="003E7FFC">
              <w:rPr>
                <w:sz w:val="20"/>
              </w:rPr>
              <w:t>s Collateral Requirement</w:t>
            </w:r>
            <w:r w:rsidR="002B35C9">
              <w:rPr>
                <w:sz w:val="20"/>
              </w:rPr>
              <w:t xml:space="preserve">.  </w:t>
            </w:r>
            <w:r w:rsidRPr="003E7FFC">
              <w:rPr>
                <w:sz w:val="20"/>
              </w:rPr>
              <w:t xml:space="preserve">Unless otherwise agreed in writing by the Parties, (i) Performance Assurance (other than Cash) demanded of a  Pledging Party on or before the Notification Time on a Business Day shall be provided by the close of business on the second Business Day thereafter, (ii) Performance Assurance (other than Cash) demanded of a  Pledging Party after the Notification Time on a Business Day shall be provided by the close of business on the third Business Day thereafter, (iii) Performance Assurance that is Cash demanded of a Pledging Party on or before the Notification Time on a Business Day shall be provided by the close of business on the next Business Day, and (iv) Performance Assurance that is Cash demanded of </w:t>
            </w:r>
            <w:r w:rsidRPr="003E7FFC">
              <w:rPr>
                <w:sz w:val="20"/>
              </w:rPr>
              <w:lastRenderedPageBreak/>
              <w:t>a Pledging Party after the Notification Time on a Business Day shall be provided by the close of business on the second Business Day thereafter</w:t>
            </w:r>
            <w:r w:rsidR="002B35C9">
              <w:rPr>
                <w:sz w:val="20"/>
              </w:rPr>
              <w:t xml:space="preserve">.  </w:t>
            </w:r>
            <w:r w:rsidRPr="003E7FFC">
              <w:rPr>
                <w:sz w:val="20"/>
              </w:rPr>
              <w:t>Any Letter of Credit or other type of Performance Assurance (other than Cash) shall be Transferred to such address as the Secured Party shall specify and any such demand made by the Secured Party pursuant to this Paragraph 4 shall specify account information for the account to which Performance Assurance in the form of Cash shall be Transferred</w:t>
            </w:r>
            <w:r w:rsidR="002B35C9">
              <w:rPr>
                <w:sz w:val="20"/>
              </w:rPr>
              <w:t xml:space="preserve">.  </w:t>
            </w:r>
            <w:r w:rsidRPr="003E7FFC">
              <w:rPr>
                <w:sz w:val="20"/>
              </w:rPr>
              <w:t xml:space="preserve"> </w:t>
            </w:r>
          </w:p>
          <w:p w:rsidR="007130CD" w:rsidRPr="003E7FFC" w:rsidRDefault="007130CD" w:rsidP="00DC6A71">
            <w:pPr>
              <w:pStyle w:val="BodyTextIndent20"/>
              <w:spacing w:after="240"/>
              <w:ind w:left="0"/>
              <w:jc w:val="both"/>
              <w:rPr>
                <w:b/>
                <w:bCs/>
                <w:u w:val="single"/>
              </w:rPr>
            </w:pPr>
            <w:r w:rsidRPr="003E7FFC">
              <w:rPr>
                <w:b/>
                <w:bCs/>
              </w:rPr>
              <w:t>5</w:t>
            </w:r>
            <w:r w:rsidR="002B35C9">
              <w:rPr>
                <w:b/>
                <w:bCs/>
              </w:rPr>
              <w:t xml:space="preserve">.  </w:t>
            </w:r>
            <w:r w:rsidRPr="003E7FFC">
              <w:rPr>
                <w:b/>
                <w:bCs/>
              </w:rPr>
              <w:t>Paragraph 5</w:t>
            </w:r>
            <w:r w:rsidR="002B35C9">
              <w:rPr>
                <w:b/>
                <w:bCs/>
              </w:rPr>
              <w:t xml:space="preserve">.  </w:t>
            </w:r>
            <w:r w:rsidRPr="003E7FFC">
              <w:rPr>
                <w:b/>
                <w:bCs/>
                <w:u w:val="single"/>
              </w:rPr>
              <w:t xml:space="preserve">Reduction and Substitution </w:t>
            </w:r>
            <w:proofErr w:type="gramStart"/>
            <w:r w:rsidRPr="003E7FFC">
              <w:rPr>
                <w:b/>
                <w:bCs/>
                <w:u w:val="single"/>
              </w:rPr>
              <w:t>of  Performance</w:t>
            </w:r>
            <w:proofErr w:type="gramEnd"/>
            <w:r w:rsidRPr="003E7FFC">
              <w:rPr>
                <w:b/>
                <w:bCs/>
                <w:u w:val="single"/>
              </w:rPr>
              <w:t xml:space="preserve"> Assurance </w:t>
            </w:r>
          </w:p>
          <w:p w:rsidR="00794BC4" w:rsidRPr="003E7FFC" w:rsidRDefault="007130CD" w:rsidP="00DC6A71">
            <w:pPr>
              <w:pStyle w:val="BodyText"/>
              <w:spacing w:after="240"/>
              <w:jc w:val="both"/>
              <w:rPr>
                <w:kern w:val="28"/>
                <w:sz w:val="20"/>
              </w:rPr>
            </w:pPr>
            <w:r w:rsidRPr="003E7FFC">
              <w:rPr>
                <w:kern w:val="28"/>
                <w:sz w:val="20"/>
              </w:rPr>
              <w:t xml:space="preserve">The term </w:t>
            </w:r>
            <w:r w:rsidR="00A34C9E">
              <w:rPr>
                <w:kern w:val="28"/>
                <w:sz w:val="20"/>
              </w:rPr>
              <w:t>“</w:t>
            </w:r>
            <w:r w:rsidRPr="003E7FFC">
              <w:rPr>
                <w:kern w:val="28"/>
                <w:sz w:val="20"/>
              </w:rPr>
              <w:t>Local Business Day</w:t>
            </w:r>
            <w:r w:rsidR="00A34C9E">
              <w:rPr>
                <w:kern w:val="28"/>
                <w:sz w:val="20"/>
              </w:rPr>
              <w:t>”</w:t>
            </w:r>
            <w:r w:rsidRPr="003E7FFC">
              <w:rPr>
                <w:kern w:val="28"/>
                <w:sz w:val="20"/>
              </w:rPr>
              <w:t xml:space="preserve"> shall be amended to read </w:t>
            </w:r>
            <w:r w:rsidR="00A34C9E">
              <w:rPr>
                <w:kern w:val="28"/>
                <w:sz w:val="20"/>
              </w:rPr>
              <w:t>“</w:t>
            </w:r>
            <w:r w:rsidRPr="003E7FFC">
              <w:rPr>
                <w:kern w:val="28"/>
                <w:sz w:val="20"/>
              </w:rPr>
              <w:t>Business Day</w:t>
            </w:r>
            <w:r w:rsidR="00A34C9E">
              <w:rPr>
                <w:kern w:val="28"/>
                <w:sz w:val="20"/>
              </w:rPr>
              <w:t>”</w:t>
            </w:r>
            <w:r w:rsidR="00794BC4" w:rsidRPr="003E7FFC">
              <w:rPr>
                <w:kern w:val="28"/>
                <w:sz w:val="20"/>
              </w:rPr>
              <w:t xml:space="preserve"> throughout</w:t>
            </w:r>
            <w:r w:rsidR="002B35C9">
              <w:rPr>
                <w:kern w:val="28"/>
                <w:sz w:val="20"/>
              </w:rPr>
              <w:t xml:space="preserve">.  </w:t>
            </w:r>
          </w:p>
          <w:p w:rsidR="004F5082" w:rsidRPr="003E7FFC" w:rsidRDefault="00794BC4" w:rsidP="00DC6A71">
            <w:pPr>
              <w:pStyle w:val="BodyText"/>
              <w:spacing w:after="240"/>
              <w:jc w:val="both"/>
            </w:pPr>
            <w:r w:rsidRPr="003E7FFC">
              <w:rPr>
                <w:kern w:val="28"/>
                <w:sz w:val="20"/>
              </w:rPr>
              <w:t>Subparagraph (a) is amended by adding after the words</w:t>
            </w:r>
            <w:r w:rsidR="00C96510" w:rsidRPr="003E7FFC">
              <w:rPr>
                <w:kern w:val="28"/>
                <w:sz w:val="20"/>
              </w:rPr>
              <w:t xml:space="preserve"> </w:t>
            </w:r>
            <w:r w:rsidR="00A34C9E">
              <w:rPr>
                <w:kern w:val="28"/>
                <w:sz w:val="20"/>
              </w:rPr>
              <w:t>“</w:t>
            </w:r>
            <w:r w:rsidR="00C96510" w:rsidRPr="003E7FFC">
              <w:rPr>
                <w:kern w:val="28"/>
                <w:sz w:val="20"/>
                <w:u w:val="single"/>
              </w:rPr>
              <w:t>provided that</w:t>
            </w:r>
            <w:r w:rsidR="00A34C9E">
              <w:rPr>
                <w:kern w:val="28"/>
                <w:sz w:val="20"/>
              </w:rPr>
              <w:t>”</w:t>
            </w:r>
            <w:r w:rsidR="00C96510" w:rsidRPr="003E7FFC">
              <w:rPr>
                <w:kern w:val="28"/>
                <w:sz w:val="20"/>
              </w:rPr>
              <w:t xml:space="preserve"> the words </w:t>
            </w:r>
            <w:r w:rsidR="00A34C9E">
              <w:rPr>
                <w:kern w:val="28"/>
                <w:sz w:val="20"/>
              </w:rPr>
              <w:t>“</w:t>
            </w:r>
            <w:r w:rsidR="00C96510" w:rsidRPr="003E7FFC">
              <w:rPr>
                <w:sz w:val="20"/>
              </w:rPr>
              <w:t>after first rounding down to the nearest integer multiple of the Rounding amount and</w:t>
            </w:r>
            <w:r w:rsidR="00A34C9E">
              <w:rPr>
                <w:sz w:val="20"/>
              </w:rPr>
              <w:t>”</w:t>
            </w:r>
          </w:p>
          <w:p w:rsidR="007130CD" w:rsidRPr="003E7FFC" w:rsidRDefault="007130CD" w:rsidP="00DC6A71">
            <w:pPr>
              <w:pStyle w:val="BodyTextIndent20"/>
              <w:spacing w:after="240"/>
              <w:ind w:left="0"/>
              <w:jc w:val="both"/>
              <w:rPr>
                <w:b/>
                <w:bCs/>
                <w:u w:val="single"/>
              </w:rPr>
            </w:pPr>
            <w:r w:rsidRPr="003E7FFC">
              <w:rPr>
                <w:b/>
                <w:bCs/>
              </w:rPr>
              <w:t>6</w:t>
            </w:r>
            <w:r w:rsidR="002B35C9">
              <w:rPr>
                <w:b/>
                <w:bCs/>
              </w:rPr>
              <w:t xml:space="preserve">.  </w:t>
            </w:r>
            <w:r w:rsidRPr="003E7FFC">
              <w:rPr>
                <w:b/>
                <w:bCs/>
              </w:rPr>
              <w:t>Paragraph 6</w:t>
            </w:r>
            <w:r w:rsidR="002B35C9">
              <w:rPr>
                <w:b/>
                <w:bCs/>
              </w:rPr>
              <w:t xml:space="preserve">.  </w:t>
            </w:r>
            <w:r w:rsidRPr="003E7FFC">
              <w:rPr>
                <w:b/>
                <w:bCs/>
                <w:u w:val="single"/>
              </w:rPr>
              <w:t>Administration of Performance Assurance</w:t>
            </w:r>
          </w:p>
          <w:p w:rsidR="007130CD" w:rsidRPr="003E7FFC" w:rsidRDefault="007130CD" w:rsidP="00DC6A71">
            <w:pPr>
              <w:pStyle w:val="BodyText"/>
              <w:spacing w:after="240"/>
              <w:jc w:val="both"/>
              <w:rPr>
                <w:kern w:val="28"/>
                <w:sz w:val="20"/>
              </w:rPr>
            </w:pPr>
            <w:r w:rsidRPr="003E7FFC">
              <w:rPr>
                <w:kern w:val="28"/>
                <w:sz w:val="20"/>
              </w:rPr>
              <w:t xml:space="preserve">The term </w:t>
            </w:r>
            <w:r w:rsidR="00A34C9E">
              <w:rPr>
                <w:kern w:val="28"/>
                <w:sz w:val="20"/>
              </w:rPr>
              <w:t>“</w:t>
            </w:r>
            <w:r w:rsidRPr="003E7FFC">
              <w:rPr>
                <w:kern w:val="28"/>
                <w:sz w:val="20"/>
              </w:rPr>
              <w:t>Local Business Day</w:t>
            </w:r>
            <w:r w:rsidR="00A34C9E">
              <w:rPr>
                <w:kern w:val="28"/>
                <w:sz w:val="20"/>
              </w:rPr>
              <w:t>”</w:t>
            </w:r>
            <w:r w:rsidRPr="003E7FFC">
              <w:rPr>
                <w:kern w:val="28"/>
                <w:sz w:val="20"/>
              </w:rPr>
              <w:t xml:space="preserve"> shall be amended to read </w:t>
            </w:r>
            <w:r w:rsidR="00A34C9E">
              <w:rPr>
                <w:kern w:val="28"/>
                <w:sz w:val="20"/>
              </w:rPr>
              <w:t>“</w:t>
            </w:r>
            <w:r w:rsidRPr="003E7FFC">
              <w:rPr>
                <w:kern w:val="28"/>
                <w:sz w:val="20"/>
              </w:rPr>
              <w:t>Business Day</w:t>
            </w:r>
            <w:r w:rsidR="00A34C9E">
              <w:rPr>
                <w:kern w:val="28"/>
                <w:sz w:val="20"/>
              </w:rPr>
              <w:t>”</w:t>
            </w:r>
            <w:r w:rsidR="007F479F" w:rsidRPr="003E7FFC">
              <w:rPr>
                <w:kern w:val="28"/>
                <w:sz w:val="20"/>
              </w:rPr>
              <w:t xml:space="preserve"> throughout</w:t>
            </w:r>
            <w:r w:rsidRPr="003E7FFC">
              <w:rPr>
                <w:kern w:val="28"/>
                <w:sz w:val="20"/>
              </w:rPr>
              <w:t>.</w:t>
            </w:r>
          </w:p>
          <w:p w:rsidR="007130CD" w:rsidRPr="003E7FFC" w:rsidRDefault="007130CD" w:rsidP="00DC6A71">
            <w:pPr>
              <w:pStyle w:val="BodyTextFirstIndent"/>
              <w:ind w:firstLine="0"/>
              <w:rPr>
                <w:sz w:val="20"/>
              </w:rPr>
            </w:pPr>
            <w:r w:rsidRPr="003E7FFC">
              <w:rPr>
                <w:sz w:val="20"/>
              </w:rPr>
              <w:t>Subparagraph 6(a)(ii)(B) is amended by:</w:t>
            </w:r>
          </w:p>
          <w:p w:rsidR="007130CD" w:rsidRPr="003E7FFC" w:rsidRDefault="007130CD" w:rsidP="00DC6A71">
            <w:pPr>
              <w:pStyle w:val="BodyTextFirstIndent"/>
              <w:ind w:left="720" w:firstLine="0"/>
              <w:rPr>
                <w:sz w:val="20"/>
              </w:rPr>
            </w:pPr>
            <w:r w:rsidRPr="003E7FFC">
              <w:rPr>
                <w:sz w:val="20"/>
              </w:rPr>
              <w:t>(a)</w:t>
            </w:r>
            <w:r w:rsidRPr="003E7FFC">
              <w:rPr>
                <w:sz w:val="20"/>
              </w:rPr>
              <w:tab/>
              <w:t xml:space="preserve">Deleting </w:t>
            </w:r>
            <w:r w:rsidR="00A34C9E">
              <w:rPr>
                <w:sz w:val="20"/>
              </w:rPr>
              <w:t>“</w:t>
            </w:r>
            <w:r w:rsidRPr="003E7FFC">
              <w:rPr>
                <w:sz w:val="20"/>
              </w:rPr>
              <w:t>to perfect the security interest of the Non-Downgraded Party</w:t>
            </w:r>
            <w:r w:rsidR="00A34C9E">
              <w:rPr>
                <w:sz w:val="20"/>
              </w:rPr>
              <w:t>”</w:t>
            </w:r>
            <w:r w:rsidRPr="003E7FFC">
              <w:rPr>
                <w:sz w:val="20"/>
              </w:rPr>
              <w:t xml:space="preserve"> and replacing it with </w:t>
            </w:r>
            <w:r w:rsidR="00A34C9E">
              <w:rPr>
                <w:sz w:val="20"/>
              </w:rPr>
              <w:t>“</w:t>
            </w:r>
            <w:r w:rsidRPr="003E7FFC">
              <w:rPr>
                <w:sz w:val="20"/>
              </w:rPr>
              <w:t>to perfect the security interest of the Downgraded Party</w:t>
            </w:r>
            <w:r w:rsidR="00A34C9E">
              <w:rPr>
                <w:sz w:val="20"/>
              </w:rPr>
              <w:t>”</w:t>
            </w:r>
            <w:r w:rsidRPr="003E7FFC">
              <w:rPr>
                <w:sz w:val="20"/>
              </w:rPr>
              <w:t>.</w:t>
            </w:r>
          </w:p>
          <w:p w:rsidR="007130CD" w:rsidRPr="003E7FFC" w:rsidRDefault="007130CD" w:rsidP="00DC6A71">
            <w:pPr>
              <w:pStyle w:val="BodyTextFirstIndent"/>
              <w:ind w:left="720" w:firstLine="0"/>
              <w:rPr>
                <w:sz w:val="20"/>
              </w:rPr>
            </w:pPr>
            <w:r w:rsidRPr="003E7FFC">
              <w:rPr>
                <w:sz w:val="20"/>
              </w:rPr>
              <w:t>(b)</w:t>
            </w:r>
            <w:r w:rsidRPr="003E7FFC">
              <w:rPr>
                <w:sz w:val="20"/>
              </w:rPr>
              <w:tab/>
              <w:t>Deleting the last two (2) sentences of that paragraph.</w:t>
            </w:r>
          </w:p>
          <w:p w:rsidR="00506FE2" w:rsidRPr="003E7FFC" w:rsidRDefault="00506FE2" w:rsidP="00DC6A71">
            <w:pPr>
              <w:pStyle w:val="BodyTextFirstIndent"/>
              <w:ind w:firstLine="0"/>
              <w:rPr>
                <w:sz w:val="20"/>
              </w:rPr>
            </w:pPr>
            <w:r w:rsidRPr="003E7FFC">
              <w:rPr>
                <w:sz w:val="20"/>
              </w:rPr>
              <w:t>A new subsection, 6(a)(</w:t>
            </w:r>
            <w:r w:rsidR="00691563" w:rsidRPr="003E7FFC">
              <w:rPr>
                <w:sz w:val="20"/>
              </w:rPr>
              <w:t>iv</w:t>
            </w:r>
            <w:r w:rsidRPr="003E7FFC">
              <w:rPr>
                <w:sz w:val="20"/>
              </w:rPr>
              <w:t>) is added, as follows:</w:t>
            </w:r>
          </w:p>
          <w:p w:rsidR="00FD31CE" w:rsidRPr="00521245" w:rsidRDefault="00506FE2" w:rsidP="00DC6A71">
            <w:pPr>
              <w:pStyle w:val="BodyTextFirstIndent"/>
              <w:ind w:firstLine="0"/>
              <w:rPr>
                <w:sz w:val="20"/>
              </w:rPr>
            </w:pPr>
            <w:r w:rsidRPr="003E7FFC">
              <w:rPr>
                <w:sz w:val="20"/>
              </w:rPr>
              <w:t>(</w:t>
            </w:r>
            <w:r w:rsidR="00691563" w:rsidRPr="003E7FFC">
              <w:rPr>
                <w:sz w:val="20"/>
              </w:rPr>
              <w:t>iv</w:t>
            </w:r>
            <w:r w:rsidRPr="003E7FFC">
              <w:rPr>
                <w:sz w:val="20"/>
              </w:rPr>
              <w:t>) Notwithstanding the above, any Cash received by the Buyer may be temporarily commingled with its general Cash until such time as a separate account can be established on behalf of the Seller at a Qualified Institution, (if one does not currently exist)</w:t>
            </w:r>
            <w:r w:rsidR="002B35C9">
              <w:rPr>
                <w:sz w:val="20"/>
              </w:rPr>
              <w:t xml:space="preserve">.  </w:t>
            </w:r>
            <w:r w:rsidR="00605E58" w:rsidRPr="003E7FFC">
              <w:rPr>
                <w:bCs/>
                <w:sz w:val="20"/>
              </w:rPr>
              <w:t>Buyer shall use commercially reasonable efforts to establish a separate account on behalf of Seller as soon as reasonably possible</w:t>
            </w:r>
            <w:r w:rsidR="002B35C9">
              <w:rPr>
                <w:bCs/>
                <w:color w:val="FF0000"/>
                <w:sz w:val="20"/>
              </w:rPr>
              <w:t xml:space="preserve">.  </w:t>
            </w:r>
            <w:r w:rsidR="00BC17A8" w:rsidRPr="003E7FFC">
              <w:rPr>
                <w:sz w:val="20"/>
              </w:rPr>
              <w:t>In addition,</w:t>
            </w:r>
            <w:r w:rsidRPr="003E7FFC">
              <w:rPr>
                <w:sz w:val="20"/>
              </w:rPr>
              <w:t xml:space="preserve"> </w:t>
            </w:r>
            <w:r w:rsidR="00BC17A8" w:rsidRPr="003E7FFC">
              <w:rPr>
                <w:sz w:val="20"/>
              </w:rPr>
              <w:t>when funds are wired to the Buyer</w:t>
            </w:r>
            <w:r w:rsidR="00A34C9E">
              <w:rPr>
                <w:sz w:val="20"/>
              </w:rPr>
              <w:t>’</w:t>
            </w:r>
            <w:r w:rsidR="00BC17A8" w:rsidRPr="003E7FFC">
              <w:rPr>
                <w:sz w:val="20"/>
              </w:rPr>
              <w:t>s general account, funds may be temporarily commingled</w:t>
            </w:r>
            <w:r w:rsidRPr="003E7FFC">
              <w:rPr>
                <w:sz w:val="20"/>
              </w:rPr>
              <w:t xml:space="preserve"> until such time as the funds can be transferred from the Buyer</w:t>
            </w:r>
            <w:r w:rsidR="00A34C9E">
              <w:rPr>
                <w:sz w:val="20"/>
              </w:rPr>
              <w:t>’</w:t>
            </w:r>
            <w:r w:rsidRPr="003E7FFC">
              <w:rPr>
                <w:sz w:val="20"/>
              </w:rPr>
              <w:t>s general receiving account to the Seller</w:t>
            </w:r>
            <w:r w:rsidR="00A34C9E">
              <w:rPr>
                <w:sz w:val="20"/>
              </w:rPr>
              <w:t>’</w:t>
            </w:r>
            <w:r w:rsidRPr="003E7FFC">
              <w:rPr>
                <w:sz w:val="20"/>
              </w:rPr>
              <w:t xml:space="preserve">s </w:t>
            </w:r>
            <w:r w:rsidR="00BC17A8" w:rsidRPr="003E7FFC">
              <w:rPr>
                <w:sz w:val="20"/>
              </w:rPr>
              <w:t>separate account at the Qualified Institution</w:t>
            </w:r>
            <w:r w:rsidR="002B35C9">
              <w:rPr>
                <w:sz w:val="20"/>
              </w:rPr>
              <w:t xml:space="preserve">.  </w:t>
            </w:r>
            <w:r w:rsidR="00BC17A8" w:rsidRPr="003E7FFC">
              <w:rPr>
                <w:sz w:val="20"/>
              </w:rPr>
              <w:t>Such periods are generally of short duration and no interest shall be calculated or paid on amounts held during such time</w:t>
            </w:r>
            <w:r w:rsidR="002B35C9">
              <w:rPr>
                <w:sz w:val="20"/>
              </w:rPr>
              <w:t xml:space="preserve">.  </w:t>
            </w:r>
          </w:p>
          <w:p w:rsidR="007130CD" w:rsidRPr="003E7FFC" w:rsidRDefault="007130CD" w:rsidP="00DC6A71">
            <w:pPr>
              <w:pStyle w:val="BodyTextIndent20"/>
              <w:spacing w:after="240"/>
              <w:ind w:left="0"/>
              <w:jc w:val="both"/>
              <w:rPr>
                <w:b/>
                <w:bCs/>
                <w:u w:val="single"/>
              </w:rPr>
            </w:pPr>
            <w:r w:rsidRPr="003E7FFC">
              <w:rPr>
                <w:b/>
                <w:bCs/>
              </w:rPr>
              <w:t>7</w:t>
            </w:r>
            <w:r w:rsidR="002B35C9">
              <w:rPr>
                <w:b/>
                <w:bCs/>
              </w:rPr>
              <w:t xml:space="preserve">.  </w:t>
            </w:r>
            <w:r w:rsidRPr="003E7FFC">
              <w:rPr>
                <w:b/>
                <w:bCs/>
              </w:rPr>
              <w:t>Paragraph 8</w:t>
            </w:r>
            <w:r w:rsidR="002B35C9">
              <w:rPr>
                <w:b/>
                <w:bCs/>
              </w:rPr>
              <w:t xml:space="preserve">.  </w:t>
            </w:r>
            <w:r w:rsidRPr="003E7FFC">
              <w:rPr>
                <w:b/>
                <w:bCs/>
                <w:u w:val="single"/>
              </w:rPr>
              <w:t>Disputed Calculations</w:t>
            </w:r>
          </w:p>
          <w:p w:rsidR="007130CD" w:rsidRPr="003E7FFC" w:rsidRDefault="007130CD" w:rsidP="00DC6A71">
            <w:pPr>
              <w:pStyle w:val="BodyText"/>
              <w:spacing w:after="240"/>
              <w:jc w:val="both"/>
              <w:rPr>
                <w:kern w:val="28"/>
                <w:sz w:val="20"/>
              </w:rPr>
            </w:pPr>
            <w:r w:rsidRPr="003E7FFC">
              <w:rPr>
                <w:kern w:val="28"/>
                <w:sz w:val="20"/>
              </w:rPr>
              <w:t>Paragraph 8 is deleted in its entirety and replaced with the following:</w:t>
            </w:r>
          </w:p>
          <w:p w:rsidR="00A116EF" w:rsidRPr="003E7FFC" w:rsidRDefault="007130CD" w:rsidP="00DC6A71">
            <w:pPr>
              <w:spacing w:after="240"/>
              <w:ind w:left="720"/>
              <w:jc w:val="both"/>
              <w:rPr>
                <w:sz w:val="20"/>
              </w:rPr>
            </w:pPr>
            <w:r w:rsidRPr="003E7FFC">
              <w:rPr>
                <w:sz w:val="20"/>
              </w:rPr>
              <w:t xml:space="preserve">(a)  If the Pledging Party disputes the amount of Performance Assurance requested by the Secured Party and such dispute relates to the amount of the Net Exposure claimed by the Secured Party, then the Pledging Party shall </w:t>
            </w:r>
            <w:r w:rsidRPr="003E7FFC">
              <w:rPr>
                <w:bCs/>
                <w:sz w:val="20"/>
              </w:rPr>
              <w:t>(i) notify the Secured Party of the existence and nature of the dispute not later than the Notification Time on the first Business Day following the date that the demand for Performance Assurance is received by the Pledging Party pursuant to Paragraph 4,</w:t>
            </w:r>
            <w:r w:rsidRPr="003E7FFC">
              <w:rPr>
                <w:sz w:val="20"/>
              </w:rPr>
              <w:t xml:space="preserve"> and (ii) provide Performance Assurance to or for the benefit of the Secured Party in an amount equal to the Pledging Party</w:t>
            </w:r>
            <w:r w:rsidR="00A34C9E">
              <w:rPr>
                <w:sz w:val="20"/>
              </w:rPr>
              <w:t>’</w:t>
            </w:r>
            <w:r w:rsidRPr="003E7FFC">
              <w:rPr>
                <w:sz w:val="20"/>
              </w:rPr>
              <w:t xml:space="preserve">s own estimate, made in good faith </w:t>
            </w:r>
            <w:r w:rsidRPr="003E7FFC">
              <w:rPr>
                <w:sz w:val="20"/>
              </w:rPr>
              <w:lastRenderedPageBreak/>
              <w:t>and in a commercially reasonable manner, of the Pledging Party</w:t>
            </w:r>
            <w:r w:rsidR="00A34C9E">
              <w:rPr>
                <w:sz w:val="20"/>
              </w:rPr>
              <w:t>’</w:t>
            </w:r>
            <w:r w:rsidRPr="003E7FFC">
              <w:rPr>
                <w:sz w:val="20"/>
              </w:rPr>
              <w:t>s Collateral Requirement in accordance with Paragraph 4</w:t>
            </w:r>
            <w:r w:rsidR="002B35C9">
              <w:rPr>
                <w:sz w:val="20"/>
              </w:rPr>
              <w:t xml:space="preserve">.  </w:t>
            </w:r>
            <w:r w:rsidRPr="003E7FFC">
              <w:rPr>
                <w:sz w:val="20"/>
              </w:rPr>
              <w:t>In all such cases, the Parties thereafter shall promptly consult with each other in order to reconcile the two conflicting amounts</w:t>
            </w:r>
            <w:r w:rsidR="002B35C9">
              <w:rPr>
                <w:sz w:val="20"/>
              </w:rPr>
              <w:t xml:space="preserve">.  </w:t>
            </w:r>
            <w:r w:rsidRPr="003E7FFC">
              <w:rPr>
                <w:bCs/>
                <w:sz w:val="20"/>
              </w:rPr>
              <w:t>If the Parties have not been able to resolve their dispute on or before the second Business Day following the date that the notice of the dispute is made by the Pledging Party, then the Secured Party</w:t>
            </w:r>
            <w:r w:rsidR="00A34C9E">
              <w:rPr>
                <w:bCs/>
                <w:sz w:val="20"/>
              </w:rPr>
              <w:t>’</w:t>
            </w:r>
            <w:r w:rsidRPr="003E7FFC">
              <w:rPr>
                <w:bCs/>
                <w:sz w:val="20"/>
              </w:rPr>
              <w:t xml:space="preserve">s Net Exposure shall be recalculated by each Party requesting quotations from one (1) Reference Market-Maker within two (2) Business Days (taking the arithmetic average of those obtained to obtain the average Current Mark-to-Market Value; </w:t>
            </w:r>
            <w:r w:rsidRPr="003E7FFC">
              <w:rPr>
                <w:bCs/>
                <w:sz w:val="20"/>
                <w:u w:val="single"/>
              </w:rPr>
              <w:t>provided, that</w:t>
            </w:r>
            <w:r w:rsidRPr="003E7FFC">
              <w:rPr>
                <w:bCs/>
                <w:sz w:val="20"/>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sidR="002B35C9">
              <w:rPr>
                <w:bCs/>
                <w:sz w:val="20"/>
              </w:rPr>
              <w:t xml:space="preserve">.  </w:t>
            </w:r>
            <w:r w:rsidRPr="003E7FFC">
              <w:rPr>
                <w:sz w:val="20"/>
              </w:rPr>
              <w:t>Performance Assurance shall thereupon be provided, returned, or reduced, if necessary, on the next Business Day in accordance with the results of such recalculation.</w:t>
            </w:r>
          </w:p>
          <w:p w:rsidR="008F7AFE" w:rsidRDefault="008F7AFE" w:rsidP="00DC6A71">
            <w:pPr>
              <w:pStyle w:val="BodyText"/>
              <w:spacing w:after="240"/>
              <w:ind w:left="766"/>
              <w:jc w:val="both"/>
              <w:rPr>
                <w:sz w:val="20"/>
              </w:rPr>
            </w:pPr>
          </w:p>
          <w:p w:rsidR="00E737DD" w:rsidRPr="003E7FFC" w:rsidRDefault="007130CD" w:rsidP="008F7AFE">
            <w:pPr>
              <w:pStyle w:val="BodyText"/>
              <w:spacing w:after="200"/>
              <w:ind w:left="766"/>
              <w:jc w:val="both"/>
              <w:rPr>
                <w:sz w:val="20"/>
              </w:rPr>
            </w:pPr>
            <w:r w:rsidRPr="003E7FFC">
              <w:rPr>
                <w:sz w:val="20"/>
              </w:rPr>
              <w:t>(b)  If the Secured Party disputes the amount of Performance Assurance to be reduced by the Secured</w:t>
            </w:r>
            <w:r w:rsidR="00176E95" w:rsidRPr="003E7FFC">
              <w:rPr>
                <w:sz w:val="20"/>
              </w:rPr>
              <w:t xml:space="preserve"> </w:t>
            </w:r>
            <w:r w:rsidRPr="003E7FFC">
              <w:rPr>
                <w:sz w:val="20"/>
              </w:rPr>
              <w:t xml:space="preserve">Party and such dispute relates to the amount of the Net Exposure claimed by the Secured Party, then the Secured Party shall (i) </w:t>
            </w:r>
            <w:r w:rsidRPr="003E7FFC">
              <w:rPr>
                <w:bCs/>
                <w:sz w:val="20"/>
              </w:rPr>
              <w:t>notify the Pledging Party of the existence and nature of the dispute not later than the Notification Time on the first Business Day following the date that the demand to reduce Performance Assurance is  received by the Secured Party pursuant to Paragraph 5(a), and (ii) effect the reduction of Performance Assurance to or for the benefit of the Pledging Party in an amount equal to the Secured Party</w:t>
            </w:r>
            <w:r w:rsidR="00A34C9E">
              <w:rPr>
                <w:bCs/>
                <w:sz w:val="20"/>
              </w:rPr>
              <w:t>’</w:t>
            </w:r>
            <w:r w:rsidRPr="003E7FFC">
              <w:rPr>
                <w:bCs/>
                <w:sz w:val="20"/>
              </w:rPr>
              <w:t>s own estimate, made in good faith and in a commercially reasonable manner, of the Pledging Party</w:t>
            </w:r>
            <w:r w:rsidR="00A34C9E">
              <w:rPr>
                <w:bCs/>
                <w:sz w:val="20"/>
              </w:rPr>
              <w:t>’</w:t>
            </w:r>
            <w:r w:rsidRPr="003E7FFC">
              <w:rPr>
                <w:bCs/>
                <w:sz w:val="20"/>
              </w:rPr>
              <w:t>s Collateral Requirement in accordance with Paragraph 5(a)</w:t>
            </w:r>
            <w:r w:rsidR="002B35C9">
              <w:rPr>
                <w:sz w:val="20"/>
              </w:rPr>
              <w:t xml:space="preserve">.  </w:t>
            </w:r>
            <w:r w:rsidRPr="003E7FFC">
              <w:rPr>
                <w:sz w:val="20"/>
              </w:rPr>
              <w:t>In all such cases, the Parties thereafter shall promptly consult with each other in order to reconcile the two conflicting amounts</w:t>
            </w:r>
            <w:r w:rsidR="002B35C9">
              <w:rPr>
                <w:sz w:val="20"/>
              </w:rPr>
              <w:t xml:space="preserve">.  </w:t>
            </w:r>
            <w:r w:rsidRPr="003E7FFC">
              <w:rPr>
                <w:bCs/>
                <w:sz w:val="20"/>
              </w:rPr>
              <w:t>If the Parties have not been able to resolve their dispute on or before the second Business Day following the date that the notice of the dispute is made by the Secured Party, then the Secured Party</w:t>
            </w:r>
            <w:r w:rsidR="00A34C9E">
              <w:rPr>
                <w:bCs/>
                <w:sz w:val="20"/>
              </w:rPr>
              <w:t>’</w:t>
            </w:r>
            <w:r w:rsidRPr="003E7FFC">
              <w:rPr>
                <w:bCs/>
                <w:sz w:val="20"/>
              </w:rPr>
              <w:t xml:space="preserve">s Net Exposure shall be recalculated by each Party requesting quotations from one (1) Reference Market-Maker within two (2) Business Days (taking the arithmetic average of those obtained to obtain the average Current Mark-to-Market Value; </w:t>
            </w:r>
            <w:r w:rsidRPr="003E7FFC">
              <w:rPr>
                <w:bCs/>
                <w:sz w:val="20"/>
                <w:u w:val="single"/>
              </w:rPr>
              <w:t>provided, that</w:t>
            </w:r>
            <w:r w:rsidRPr="003E7FFC">
              <w:rPr>
                <w:bCs/>
                <w:sz w:val="20"/>
              </w:rPr>
              <w:t>, if only one (1) quotation can be obtained, then that quotation shall be used) for the purpose of recalculating the Current Mark-to-Market Value of each Transaction in respect of which the Parties disagree as to the Current Mark-to-Market Value thereof, and the Secured Party shall inform the Pledging Party of the results of such recalculation (in reasonable detail)</w:t>
            </w:r>
            <w:r w:rsidR="002B35C9">
              <w:rPr>
                <w:bCs/>
                <w:sz w:val="20"/>
              </w:rPr>
              <w:t xml:space="preserve">.  </w:t>
            </w:r>
            <w:r w:rsidRPr="003E7FFC">
              <w:rPr>
                <w:sz w:val="20"/>
              </w:rPr>
              <w:t>Performance Assurance shall thereupon be provided, returned, or reduced, if necessary,</w:t>
            </w:r>
            <w:r w:rsidRPr="003E7FFC">
              <w:rPr>
                <w:bCs/>
                <w:sz w:val="20"/>
              </w:rPr>
              <w:t xml:space="preserve"> on the next Business Day </w:t>
            </w:r>
            <w:r w:rsidRPr="003E7FFC">
              <w:rPr>
                <w:sz w:val="20"/>
              </w:rPr>
              <w:t>in accordance with the results of such recalculation.</w:t>
            </w:r>
          </w:p>
          <w:p w:rsidR="007130CD" w:rsidRPr="003E7FFC" w:rsidRDefault="007130CD" w:rsidP="008F7AFE">
            <w:pPr>
              <w:pStyle w:val="BodyTextIndent20"/>
              <w:spacing w:after="200"/>
              <w:ind w:left="0"/>
              <w:jc w:val="both"/>
              <w:rPr>
                <w:b/>
                <w:bCs/>
                <w:u w:val="single"/>
              </w:rPr>
            </w:pPr>
            <w:r w:rsidRPr="003E7FFC">
              <w:rPr>
                <w:b/>
                <w:bCs/>
              </w:rPr>
              <w:t>8</w:t>
            </w:r>
            <w:r w:rsidR="002B35C9">
              <w:rPr>
                <w:b/>
                <w:bCs/>
              </w:rPr>
              <w:t xml:space="preserve">.  </w:t>
            </w:r>
            <w:r w:rsidRPr="003E7FFC">
              <w:rPr>
                <w:b/>
                <w:bCs/>
              </w:rPr>
              <w:t>Paragraph 9</w:t>
            </w:r>
            <w:r w:rsidR="002B35C9">
              <w:rPr>
                <w:b/>
                <w:bCs/>
              </w:rPr>
              <w:t xml:space="preserve">.  </w:t>
            </w:r>
            <w:r w:rsidRPr="003E7FFC">
              <w:rPr>
                <w:b/>
                <w:bCs/>
                <w:u w:val="single"/>
              </w:rPr>
              <w:t>Covenants; Representations and Warranties; Miscellaneous</w:t>
            </w:r>
          </w:p>
          <w:p w:rsidR="00A116EF" w:rsidRPr="003E7FFC" w:rsidRDefault="007130CD" w:rsidP="008F7AFE">
            <w:pPr>
              <w:pStyle w:val="BodyText"/>
              <w:spacing w:after="200"/>
              <w:jc w:val="both"/>
              <w:rPr>
                <w:sz w:val="20"/>
              </w:rPr>
            </w:pPr>
            <w:r w:rsidRPr="003E7FFC">
              <w:rPr>
                <w:sz w:val="20"/>
              </w:rPr>
              <w:t>Paragraph 9(a) is amended by deleting the parenthetical therein.</w:t>
            </w:r>
          </w:p>
          <w:p w:rsidR="007130CD" w:rsidRPr="003E7FFC" w:rsidRDefault="007130CD" w:rsidP="008F7AFE">
            <w:pPr>
              <w:pStyle w:val="BodyTextIndent20"/>
              <w:spacing w:after="200"/>
              <w:ind w:left="0"/>
              <w:jc w:val="both"/>
              <w:rPr>
                <w:b/>
                <w:bCs/>
                <w:u w:val="single"/>
              </w:rPr>
            </w:pPr>
            <w:r w:rsidRPr="003E7FFC">
              <w:rPr>
                <w:b/>
                <w:bCs/>
              </w:rPr>
              <w:t>9</w:t>
            </w:r>
            <w:r w:rsidR="002B35C9">
              <w:rPr>
                <w:b/>
                <w:bCs/>
              </w:rPr>
              <w:t xml:space="preserve">.  </w:t>
            </w:r>
            <w:r w:rsidRPr="003E7FFC">
              <w:rPr>
                <w:b/>
                <w:bCs/>
              </w:rPr>
              <w:t>Paragraph 10</w:t>
            </w:r>
            <w:r w:rsidR="002B35C9">
              <w:rPr>
                <w:b/>
                <w:bCs/>
              </w:rPr>
              <w:t xml:space="preserve">.  </w:t>
            </w:r>
            <w:r w:rsidRPr="003E7FFC">
              <w:rPr>
                <w:b/>
                <w:bCs/>
                <w:u w:val="single"/>
              </w:rPr>
              <w:t>Elections and Variables</w:t>
            </w:r>
          </w:p>
          <w:p w:rsidR="007130CD" w:rsidRPr="003E7FFC" w:rsidRDefault="007130CD" w:rsidP="008F7AFE">
            <w:pPr>
              <w:pStyle w:val="BodyText"/>
              <w:spacing w:after="200"/>
              <w:jc w:val="both"/>
              <w:rPr>
                <w:kern w:val="28"/>
                <w:sz w:val="20"/>
              </w:rPr>
            </w:pPr>
            <w:r w:rsidRPr="003E7FFC">
              <w:rPr>
                <w:kern w:val="28"/>
                <w:sz w:val="20"/>
              </w:rPr>
              <w:lastRenderedPageBreak/>
              <w:t xml:space="preserve">Section I, Subsection A is replaced in its entirety with the following: </w:t>
            </w:r>
          </w:p>
          <w:p w:rsidR="007130CD" w:rsidRPr="00DC6A71" w:rsidRDefault="00AB1F66" w:rsidP="00DC6A71">
            <w:pPr>
              <w:pStyle w:val="coverbody"/>
              <w:spacing w:after="240"/>
              <w:ind w:left="766"/>
            </w:pPr>
            <w:r w:rsidRPr="003E7FFC">
              <w:t xml:space="preserve">The Collateral Threshold for Party A </w:t>
            </w:r>
            <w:r w:rsidR="00AA71B0" w:rsidRPr="003E7FFC">
              <w:t>shall be</w:t>
            </w:r>
            <w:r w:rsidRPr="003E7FFC">
              <w:t xml:space="preserve"> </w:t>
            </w:r>
            <w:r w:rsidR="007130CD" w:rsidRPr="003E7FFC">
              <w:t xml:space="preserve">(a) </w:t>
            </w:r>
            <w:r w:rsidRPr="003E7FFC">
              <w:t>the lower of (i) t</w:t>
            </w:r>
            <w:r w:rsidR="005B2FC7" w:rsidRPr="003E7FFC">
              <w:t xml:space="preserve">he amount  (the </w:t>
            </w:r>
            <w:r w:rsidR="00A34C9E">
              <w:t>“</w:t>
            </w:r>
            <w:r w:rsidR="005B2FC7" w:rsidRPr="003E7FFC">
              <w:t>Collateral Threshold Amount</w:t>
            </w:r>
            <w:r w:rsidR="00A34C9E">
              <w:t>”</w:t>
            </w:r>
            <w:r w:rsidR="005B2FC7" w:rsidRPr="003E7FFC">
              <w:t xml:space="preserve">) set forth below under the heading </w:t>
            </w:r>
            <w:r w:rsidR="00A34C9E">
              <w:t>“</w:t>
            </w:r>
            <w:r w:rsidR="005B2FC7" w:rsidRPr="003E7FFC">
              <w:t>Party A Maximum Collateral Threshold Amount</w:t>
            </w:r>
            <w:r w:rsidR="00A34C9E">
              <w:t>”</w:t>
            </w:r>
            <w:r w:rsidR="005B2FC7" w:rsidRPr="003E7FFC">
              <w:t xml:space="preserve"> opposite the Credit Rating for [Party A][Party A</w:t>
            </w:r>
            <w:r w:rsidR="00A34C9E">
              <w:t>’</w:t>
            </w:r>
            <w:r w:rsidR="005B2FC7" w:rsidRPr="003E7FFC">
              <w:t>s Guarantor] on the relevant date of determination</w:t>
            </w:r>
            <w:r w:rsidRPr="003E7FFC">
              <w:t xml:space="preserve"> or (ii) the amount of the Guaranty </w:t>
            </w:r>
            <w:r w:rsidR="00101E9A" w:rsidRPr="003E7FFC">
              <w:t>agreement</w:t>
            </w:r>
            <w:r w:rsidR="00B20401" w:rsidRPr="003E7FFC">
              <w:t xml:space="preserve"> on the relevant date of determination</w:t>
            </w:r>
            <w:r w:rsidR="00AA71B0" w:rsidRPr="003E7FFC">
              <w:t xml:space="preserve"> if Party A relies upon a Guarantor</w:t>
            </w:r>
            <w:r w:rsidR="005B2FC7" w:rsidRPr="003E7FFC">
              <w:t xml:space="preserve">, or (b) zero if on the relevant date of determination [Party A][its Guarantor] does not have a Credit Rating from at least one of the rating agencies specified below or an Event of Default or a Potential Event of Default with respect to Party A has occurred and is continuing; provided, however, in the event that, and on the date that, Party A cures the Event of Default or Potential Event of Default on or prior to the date that Party A is required to post Performance Assurance to Party B pursuant to a demand made by Party B pursuant to the provisions of the Collateral Annex on or after the occurrence of such Event of Default or Potential Event of Default, (i) the Collateral Threshold for Party A shall automatically increase from zero to </w:t>
            </w:r>
            <w:r w:rsidR="00D42C25" w:rsidRPr="003E7FFC">
              <w:t xml:space="preserve">the </w:t>
            </w:r>
            <w:r w:rsidRPr="003E7FFC">
              <w:t xml:space="preserve">lower of </w:t>
            </w:r>
            <w:r w:rsidR="005B2FC7" w:rsidRPr="003E7FFC">
              <w:t xml:space="preserve">the applicable Party A </w:t>
            </w:r>
            <w:r w:rsidRPr="003E7FFC">
              <w:t xml:space="preserve">Maximum </w:t>
            </w:r>
            <w:r w:rsidR="005B2FC7" w:rsidRPr="003E7FFC">
              <w:t xml:space="preserve">Collateral Threshold Amount </w:t>
            </w:r>
            <w:r w:rsidRPr="003E7FFC">
              <w:t xml:space="preserve">or the amount of the Guaranty </w:t>
            </w:r>
            <w:r w:rsidR="00101E9A" w:rsidRPr="003E7FFC">
              <w:t>a</w:t>
            </w:r>
            <w:r w:rsidRPr="003E7FFC">
              <w:t>greement</w:t>
            </w:r>
            <w:r w:rsidR="00AA71B0" w:rsidRPr="003E7FFC">
              <w:t xml:space="preserve"> if Party A relies upon a Guarantor</w:t>
            </w:r>
            <w:r w:rsidRPr="003E7FFC">
              <w:t xml:space="preserve"> </w:t>
            </w:r>
            <w:r w:rsidR="005B2FC7" w:rsidRPr="003E7FFC">
              <w:t>and (ii) Party A shall be relieved of its obligation to post Performance Assurance pursuant to such demand.</w:t>
            </w:r>
          </w:p>
          <w:tbl>
            <w:tblPr>
              <w:tblW w:w="5000" w:type="pct"/>
              <w:tblLayout w:type="fixed"/>
              <w:tblLook w:val="0000" w:firstRow="0" w:lastRow="0" w:firstColumn="0" w:lastColumn="0" w:noHBand="0" w:noVBand="0"/>
            </w:tblPr>
            <w:tblGrid>
              <w:gridCol w:w="1467"/>
              <w:gridCol w:w="1239"/>
              <w:gridCol w:w="1239"/>
              <w:gridCol w:w="1447"/>
              <w:gridCol w:w="1250"/>
            </w:tblGrid>
            <w:tr w:rsidR="00A76F17" w:rsidRPr="003E7FFC" w:rsidTr="005B2FC7">
              <w:tc>
                <w:tcPr>
                  <w:tcW w:w="2970" w:type="pct"/>
                  <w:gridSpan w:val="3"/>
                  <w:vAlign w:val="center"/>
                </w:tcPr>
                <w:p w:rsidR="00A76F17" w:rsidRPr="003E7FFC" w:rsidRDefault="005B2FC7" w:rsidP="000B0CBD">
                  <w:pPr>
                    <w:pStyle w:val="TableText"/>
                    <w:jc w:val="center"/>
                    <w:rPr>
                      <w:sz w:val="16"/>
                      <w:szCs w:val="16"/>
                    </w:rPr>
                  </w:pPr>
                  <w:r w:rsidRPr="003E7FFC">
                    <w:rPr>
                      <w:sz w:val="16"/>
                      <w:szCs w:val="16"/>
                    </w:rPr>
                    <w:t>Credit Rating of Party A/Party A</w:t>
                  </w:r>
                  <w:r w:rsidR="00A34C9E">
                    <w:rPr>
                      <w:sz w:val="16"/>
                      <w:szCs w:val="16"/>
                    </w:rPr>
                    <w:t>’</w:t>
                  </w:r>
                  <w:r w:rsidRPr="003E7FFC">
                    <w:rPr>
                      <w:sz w:val="16"/>
                      <w:szCs w:val="16"/>
                    </w:rPr>
                    <w:t>s Guarantor</w:t>
                  </w:r>
                </w:p>
              </w:tc>
              <w:tc>
                <w:tcPr>
                  <w:tcW w:w="2030" w:type="pct"/>
                  <w:gridSpan w:val="2"/>
                  <w:vAlign w:val="center"/>
                </w:tcPr>
                <w:p w:rsidR="00A76F17" w:rsidRPr="003E7FFC" w:rsidRDefault="005B2FC7" w:rsidP="000B0CBD">
                  <w:pPr>
                    <w:autoSpaceDE w:val="0"/>
                    <w:autoSpaceDN w:val="0"/>
                    <w:adjustRightInd w:val="0"/>
                    <w:jc w:val="center"/>
                    <w:rPr>
                      <w:sz w:val="16"/>
                      <w:szCs w:val="16"/>
                    </w:rPr>
                  </w:pPr>
                  <w:r w:rsidRPr="003E7FFC">
                    <w:rPr>
                      <w:sz w:val="16"/>
                      <w:szCs w:val="16"/>
                    </w:rPr>
                    <w:t>Party A Maximum Collateral Threshold Amount (to be calculated as the lesser of the % of Tangible Net Worth and Threshold Cap below)</w:t>
                  </w:r>
                </w:p>
              </w:tc>
            </w:tr>
            <w:tr w:rsidR="005B2FC7" w:rsidRPr="003E7FFC" w:rsidTr="005B2FC7">
              <w:tc>
                <w:tcPr>
                  <w:tcW w:w="1104" w:type="pct"/>
                  <w:vAlign w:val="center"/>
                </w:tcPr>
                <w:p w:rsidR="005B2FC7" w:rsidRPr="003E7FFC" w:rsidRDefault="005B2FC7" w:rsidP="00E25794">
                  <w:pPr>
                    <w:pStyle w:val="TableText"/>
                    <w:jc w:val="center"/>
                    <w:rPr>
                      <w:sz w:val="16"/>
                      <w:szCs w:val="16"/>
                    </w:rPr>
                  </w:pPr>
                  <w:r w:rsidRPr="003E7FFC">
                    <w:rPr>
                      <w:sz w:val="16"/>
                      <w:szCs w:val="16"/>
                    </w:rPr>
                    <w:t>S&amp;P</w:t>
                  </w:r>
                </w:p>
              </w:tc>
              <w:tc>
                <w:tcPr>
                  <w:tcW w:w="933" w:type="pct"/>
                  <w:vAlign w:val="center"/>
                </w:tcPr>
                <w:p w:rsidR="005B2FC7" w:rsidRPr="003E7FFC" w:rsidRDefault="005B2FC7" w:rsidP="00E25794">
                  <w:pPr>
                    <w:pStyle w:val="TableText"/>
                    <w:jc w:val="center"/>
                    <w:rPr>
                      <w:sz w:val="16"/>
                      <w:szCs w:val="16"/>
                    </w:rPr>
                  </w:pPr>
                  <w:r w:rsidRPr="003E7FFC">
                    <w:rPr>
                      <w:sz w:val="16"/>
                      <w:szCs w:val="16"/>
                    </w:rPr>
                    <w:t>Moody</w:t>
                  </w:r>
                  <w:r w:rsidR="00A34C9E">
                    <w:rPr>
                      <w:sz w:val="16"/>
                      <w:szCs w:val="16"/>
                    </w:rPr>
                    <w:t>’</w:t>
                  </w:r>
                  <w:r w:rsidRPr="003E7FFC">
                    <w:rPr>
                      <w:sz w:val="16"/>
                      <w:szCs w:val="16"/>
                    </w:rPr>
                    <w:t>s</w:t>
                  </w:r>
                </w:p>
              </w:tc>
              <w:tc>
                <w:tcPr>
                  <w:tcW w:w="933" w:type="pct"/>
                  <w:vAlign w:val="center"/>
                </w:tcPr>
                <w:p w:rsidR="005B2FC7" w:rsidRPr="003E7FFC" w:rsidRDefault="005B2FC7" w:rsidP="00E25794">
                  <w:pPr>
                    <w:pStyle w:val="TableText"/>
                    <w:jc w:val="center"/>
                    <w:rPr>
                      <w:sz w:val="16"/>
                      <w:szCs w:val="16"/>
                    </w:rPr>
                  </w:pPr>
                  <w:r w:rsidRPr="003E7FFC">
                    <w:rPr>
                      <w:sz w:val="16"/>
                      <w:szCs w:val="16"/>
                    </w:rPr>
                    <w:t>Fitch</w:t>
                  </w:r>
                </w:p>
              </w:tc>
              <w:tc>
                <w:tcPr>
                  <w:tcW w:w="1089" w:type="pct"/>
                  <w:vAlign w:val="center"/>
                </w:tcPr>
                <w:p w:rsidR="005B2FC7" w:rsidRPr="003E7FFC" w:rsidRDefault="005B2FC7" w:rsidP="00E25794">
                  <w:pPr>
                    <w:pStyle w:val="Email"/>
                    <w:jc w:val="center"/>
                    <w:rPr>
                      <w:rFonts w:ascii="Times New Roman" w:hAnsi="Times New Roman"/>
                      <w:sz w:val="16"/>
                      <w:szCs w:val="16"/>
                    </w:rPr>
                  </w:pPr>
                  <w:r w:rsidRPr="003E7FFC">
                    <w:rPr>
                      <w:rFonts w:ascii="Times New Roman" w:hAnsi="Times New Roman"/>
                      <w:sz w:val="16"/>
                      <w:szCs w:val="16"/>
                    </w:rPr>
                    <w:t>%</w:t>
                  </w:r>
                </w:p>
              </w:tc>
              <w:tc>
                <w:tcPr>
                  <w:tcW w:w="941" w:type="pct"/>
                  <w:vAlign w:val="center"/>
                </w:tcPr>
                <w:p w:rsidR="005B2FC7" w:rsidRPr="003E7FFC" w:rsidRDefault="005B2FC7" w:rsidP="00E25794">
                  <w:pPr>
                    <w:pStyle w:val="TableText"/>
                    <w:jc w:val="center"/>
                    <w:rPr>
                      <w:sz w:val="16"/>
                      <w:szCs w:val="16"/>
                    </w:rPr>
                  </w:pPr>
                  <w:r w:rsidRPr="003E7FFC">
                    <w:rPr>
                      <w:sz w:val="16"/>
                      <w:szCs w:val="16"/>
                    </w:rPr>
                    <w:t>Threshold Cap</w:t>
                  </w:r>
                </w:p>
              </w:tc>
            </w:tr>
            <w:tr w:rsidR="005B2FC7" w:rsidRPr="003E7FFC" w:rsidTr="005B2FC7">
              <w:tc>
                <w:tcPr>
                  <w:tcW w:w="1104" w:type="pct"/>
                  <w:vAlign w:val="center"/>
                </w:tcPr>
                <w:p w:rsidR="005B2FC7" w:rsidRPr="003E7FFC" w:rsidRDefault="005B2FC7" w:rsidP="00E25794">
                  <w:pPr>
                    <w:pStyle w:val="TableText"/>
                    <w:jc w:val="center"/>
                    <w:rPr>
                      <w:sz w:val="16"/>
                      <w:szCs w:val="16"/>
                    </w:rPr>
                  </w:pPr>
                  <w:r w:rsidRPr="003E7FFC">
                    <w:rPr>
                      <w:sz w:val="16"/>
                      <w:szCs w:val="16"/>
                    </w:rPr>
                    <w:t>A- and above</w:t>
                  </w:r>
                </w:p>
              </w:tc>
              <w:tc>
                <w:tcPr>
                  <w:tcW w:w="933" w:type="pct"/>
                  <w:vAlign w:val="center"/>
                </w:tcPr>
                <w:p w:rsidR="005B2FC7" w:rsidRPr="003E7FFC" w:rsidRDefault="005B2FC7" w:rsidP="00E25794">
                  <w:pPr>
                    <w:pStyle w:val="TableText"/>
                    <w:jc w:val="center"/>
                    <w:rPr>
                      <w:sz w:val="16"/>
                      <w:szCs w:val="16"/>
                    </w:rPr>
                  </w:pPr>
                  <w:r w:rsidRPr="003E7FFC">
                    <w:rPr>
                      <w:sz w:val="16"/>
                      <w:szCs w:val="16"/>
                    </w:rPr>
                    <w:t>A3 and above</w:t>
                  </w:r>
                </w:p>
              </w:tc>
              <w:tc>
                <w:tcPr>
                  <w:tcW w:w="933" w:type="pct"/>
                  <w:vAlign w:val="center"/>
                </w:tcPr>
                <w:p w:rsidR="005B2FC7" w:rsidRPr="003E7FFC" w:rsidRDefault="005B2FC7" w:rsidP="00E25794">
                  <w:pPr>
                    <w:pStyle w:val="TableText"/>
                    <w:jc w:val="center"/>
                    <w:rPr>
                      <w:sz w:val="16"/>
                      <w:szCs w:val="16"/>
                    </w:rPr>
                  </w:pPr>
                  <w:r w:rsidRPr="003E7FFC">
                    <w:rPr>
                      <w:sz w:val="16"/>
                      <w:szCs w:val="16"/>
                    </w:rPr>
                    <w:t>A- and above</w:t>
                  </w:r>
                </w:p>
              </w:tc>
              <w:tc>
                <w:tcPr>
                  <w:tcW w:w="1089" w:type="pct"/>
                  <w:vAlign w:val="center"/>
                </w:tcPr>
                <w:p w:rsidR="005B2FC7" w:rsidRPr="003E7FFC" w:rsidRDefault="005B2FC7" w:rsidP="00E25794">
                  <w:pPr>
                    <w:pStyle w:val="Email"/>
                    <w:jc w:val="center"/>
                    <w:rPr>
                      <w:rFonts w:ascii="Times New Roman" w:hAnsi="Times New Roman"/>
                      <w:sz w:val="16"/>
                      <w:szCs w:val="16"/>
                    </w:rPr>
                  </w:pPr>
                  <w:r w:rsidRPr="003E7FFC">
                    <w:rPr>
                      <w:rFonts w:ascii="Times New Roman" w:hAnsi="Times New Roman"/>
                      <w:sz w:val="16"/>
                      <w:szCs w:val="16"/>
                    </w:rPr>
                    <w:t>16% of TNW</w:t>
                  </w:r>
                </w:p>
              </w:tc>
              <w:tc>
                <w:tcPr>
                  <w:tcW w:w="941" w:type="pct"/>
                  <w:vAlign w:val="center"/>
                </w:tcPr>
                <w:p w:rsidR="005B2FC7" w:rsidRPr="003E7FFC" w:rsidRDefault="005B2FC7" w:rsidP="00E25794">
                  <w:pPr>
                    <w:pStyle w:val="Letter"/>
                    <w:jc w:val="center"/>
                    <w:rPr>
                      <w:rFonts w:ascii="Times New Roman" w:hAnsi="Times New Roman"/>
                      <w:sz w:val="16"/>
                      <w:szCs w:val="16"/>
                    </w:rPr>
                  </w:pPr>
                  <w:r w:rsidRPr="003E7FFC">
                    <w:rPr>
                      <w:rFonts w:ascii="Times New Roman" w:hAnsi="Times New Roman"/>
                      <w:sz w:val="16"/>
                      <w:szCs w:val="16"/>
                    </w:rPr>
                    <w:t>$</w:t>
                  </w:r>
                  <w:r w:rsidR="00F47708" w:rsidRPr="003E7FFC">
                    <w:rPr>
                      <w:rFonts w:ascii="Times New Roman" w:hAnsi="Times New Roman"/>
                      <w:sz w:val="16"/>
                      <w:szCs w:val="16"/>
                    </w:rPr>
                    <w:t>80</w:t>
                  </w:r>
                  <w:r w:rsidRPr="003E7FFC">
                    <w:rPr>
                      <w:rFonts w:ascii="Times New Roman" w:hAnsi="Times New Roman"/>
                      <w:sz w:val="16"/>
                      <w:szCs w:val="16"/>
                    </w:rPr>
                    <w:t>,000,000</w:t>
                  </w:r>
                </w:p>
              </w:tc>
            </w:tr>
            <w:tr w:rsidR="005B2FC7" w:rsidRPr="003E7FFC" w:rsidTr="005B2FC7">
              <w:tc>
                <w:tcPr>
                  <w:tcW w:w="1104" w:type="pct"/>
                  <w:vAlign w:val="center"/>
                </w:tcPr>
                <w:p w:rsidR="005B2FC7" w:rsidRPr="003E7FFC" w:rsidRDefault="005B2FC7" w:rsidP="00E25794">
                  <w:pPr>
                    <w:pStyle w:val="TableText"/>
                    <w:jc w:val="center"/>
                    <w:rPr>
                      <w:sz w:val="16"/>
                      <w:szCs w:val="16"/>
                    </w:rPr>
                  </w:pPr>
                  <w:r w:rsidRPr="003E7FFC">
                    <w:rPr>
                      <w:sz w:val="16"/>
                      <w:szCs w:val="16"/>
                    </w:rPr>
                    <w:t>BBB+</w:t>
                  </w:r>
                </w:p>
              </w:tc>
              <w:tc>
                <w:tcPr>
                  <w:tcW w:w="933" w:type="pct"/>
                  <w:vAlign w:val="center"/>
                </w:tcPr>
                <w:p w:rsidR="005B2FC7" w:rsidRPr="003E7FFC" w:rsidRDefault="005B2FC7" w:rsidP="00E25794">
                  <w:pPr>
                    <w:pStyle w:val="TableText"/>
                    <w:jc w:val="center"/>
                    <w:rPr>
                      <w:sz w:val="16"/>
                      <w:szCs w:val="16"/>
                    </w:rPr>
                  </w:pPr>
                  <w:r w:rsidRPr="003E7FFC">
                    <w:rPr>
                      <w:sz w:val="16"/>
                      <w:szCs w:val="16"/>
                    </w:rPr>
                    <w:t>Baa1</w:t>
                  </w:r>
                </w:p>
              </w:tc>
              <w:tc>
                <w:tcPr>
                  <w:tcW w:w="933" w:type="pct"/>
                  <w:vAlign w:val="center"/>
                </w:tcPr>
                <w:p w:rsidR="005B2FC7" w:rsidRPr="003E7FFC" w:rsidRDefault="005B2FC7" w:rsidP="00E25794">
                  <w:pPr>
                    <w:pStyle w:val="TableText"/>
                    <w:jc w:val="center"/>
                    <w:rPr>
                      <w:sz w:val="16"/>
                      <w:szCs w:val="16"/>
                    </w:rPr>
                  </w:pPr>
                  <w:r w:rsidRPr="003E7FFC">
                    <w:rPr>
                      <w:sz w:val="16"/>
                      <w:szCs w:val="16"/>
                    </w:rPr>
                    <w:t>BBB+</w:t>
                  </w:r>
                </w:p>
              </w:tc>
              <w:tc>
                <w:tcPr>
                  <w:tcW w:w="1089" w:type="pct"/>
                  <w:vAlign w:val="center"/>
                </w:tcPr>
                <w:p w:rsidR="005B2FC7" w:rsidRPr="003E7FFC" w:rsidRDefault="005B2FC7" w:rsidP="00E25794">
                  <w:pPr>
                    <w:pStyle w:val="Email"/>
                    <w:jc w:val="center"/>
                    <w:rPr>
                      <w:rFonts w:ascii="Times New Roman" w:hAnsi="Times New Roman"/>
                      <w:sz w:val="16"/>
                      <w:szCs w:val="16"/>
                    </w:rPr>
                  </w:pPr>
                  <w:r w:rsidRPr="003E7FFC">
                    <w:rPr>
                      <w:rFonts w:ascii="Times New Roman" w:hAnsi="Times New Roman"/>
                      <w:sz w:val="16"/>
                      <w:szCs w:val="16"/>
                    </w:rPr>
                    <w:t>10% of TNW</w:t>
                  </w:r>
                </w:p>
              </w:tc>
              <w:tc>
                <w:tcPr>
                  <w:tcW w:w="941" w:type="pct"/>
                  <w:vAlign w:val="center"/>
                </w:tcPr>
                <w:p w:rsidR="005B2FC7" w:rsidRPr="003E7FFC" w:rsidRDefault="005B2FC7" w:rsidP="00E25794">
                  <w:pPr>
                    <w:pStyle w:val="Letter"/>
                    <w:jc w:val="center"/>
                    <w:rPr>
                      <w:rFonts w:ascii="Times New Roman" w:hAnsi="Times New Roman"/>
                      <w:sz w:val="16"/>
                      <w:szCs w:val="16"/>
                    </w:rPr>
                  </w:pPr>
                  <w:r w:rsidRPr="003E7FFC">
                    <w:rPr>
                      <w:rFonts w:ascii="Times New Roman" w:hAnsi="Times New Roman"/>
                      <w:sz w:val="16"/>
                      <w:szCs w:val="16"/>
                    </w:rPr>
                    <w:t>$</w:t>
                  </w:r>
                  <w:r w:rsidR="00F47708" w:rsidRPr="003E7FFC">
                    <w:rPr>
                      <w:rFonts w:ascii="Times New Roman" w:hAnsi="Times New Roman"/>
                      <w:sz w:val="16"/>
                      <w:szCs w:val="16"/>
                    </w:rPr>
                    <w:t>60</w:t>
                  </w:r>
                  <w:r w:rsidRPr="003E7FFC">
                    <w:rPr>
                      <w:rFonts w:ascii="Times New Roman" w:hAnsi="Times New Roman"/>
                      <w:sz w:val="16"/>
                      <w:szCs w:val="16"/>
                    </w:rPr>
                    <w:t>,000,000</w:t>
                  </w:r>
                </w:p>
              </w:tc>
            </w:tr>
            <w:tr w:rsidR="005B2FC7" w:rsidRPr="003E7FFC" w:rsidTr="005B2FC7">
              <w:tc>
                <w:tcPr>
                  <w:tcW w:w="1104" w:type="pct"/>
                  <w:vAlign w:val="center"/>
                </w:tcPr>
                <w:p w:rsidR="005B2FC7" w:rsidRPr="003E7FFC" w:rsidRDefault="005B2FC7" w:rsidP="00E25794">
                  <w:pPr>
                    <w:pStyle w:val="TableText"/>
                    <w:jc w:val="center"/>
                    <w:rPr>
                      <w:sz w:val="16"/>
                      <w:szCs w:val="16"/>
                    </w:rPr>
                  </w:pPr>
                  <w:r w:rsidRPr="003E7FFC">
                    <w:rPr>
                      <w:sz w:val="16"/>
                      <w:szCs w:val="16"/>
                    </w:rPr>
                    <w:t>BBB</w:t>
                  </w:r>
                </w:p>
              </w:tc>
              <w:tc>
                <w:tcPr>
                  <w:tcW w:w="933" w:type="pct"/>
                  <w:vAlign w:val="center"/>
                </w:tcPr>
                <w:p w:rsidR="005B2FC7" w:rsidRPr="003E7FFC" w:rsidRDefault="005B2FC7" w:rsidP="00E25794">
                  <w:pPr>
                    <w:pStyle w:val="TableText"/>
                    <w:jc w:val="center"/>
                    <w:rPr>
                      <w:sz w:val="16"/>
                      <w:szCs w:val="16"/>
                    </w:rPr>
                  </w:pPr>
                  <w:r w:rsidRPr="003E7FFC">
                    <w:rPr>
                      <w:sz w:val="16"/>
                      <w:szCs w:val="16"/>
                    </w:rPr>
                    <w:t>Baa2</w:t>
                  </w:r>
                </w:p>
              </w:tc>
              <w:tc>
                <w:tcPr>
                  <w:tcW w:w="933" w:type="pct"/>
                  <w:vAlign w:val="center"/>
                </w:tcPr>
                <w:p w:rsidR="005B2FC7" w:rsidRPr="003E7FFC" w:rsidRDefault="005B2FC7" w:rsidP="00E25794">
                  <w:pPr>
                    <w:pStyle w:val="TableText"/>
                    <w:jc w:val="center"/>
                    <w:rPr>
                      <w:sz w:val="16"/>
                      <w:szCs w:val="16"/>
                    </w:rPr>
                  </w:pPr>
                  <w:r w:rsidRPr="003E7FFC">
                    <w:rPr>
                      <w:sz w:val="16"/>
                      <w:szCs w:val="16"/>
                    </w:rPr>
                    <w:t>BBB</w:t>
                  </w:r>
                </w:p>
              </w:tc>
              <w:tc>
                <w:tcPr>
                  <w:tcW w:w="1089" w:type="pct"/>
                  <w:vAlign w:val="center"/>
                </w:tcPr>
                <w:p w:rsidR="005B2FC7" w:rsidRPr="003E7FFC" w:rsidRDefault="005B2FC7" w:rsidP="00E25794">
                  <w:pPr>
                    <w:pStyle w:val="Email"/>
                    <w:jc w:val="center"/>
                    <w:rPr>
                      <w:rFonts w:ascii="Times New Roman" w:hAnsi="Times New Roman"/>
                      <w:sz w:val="16"/>
                      <w:szCs w:val="16"/>
                    </w:rPr>
                  </w:pPr>
                  <w:r w:rsidRPr="003E7FFC">
                    <w:rPr>
                      <w:rFonts w:ascii="Times New Roman" w:hAnsi="Times New Roman"/>
                      <w:sz w:val="16"/>
                      <w:szCs w:val="16"/>
                    </w:rPr>
                    <w:t>8% of TNW</w:t>
                  </w:r>
                </w:p>
              </w:tc>
              <w:tc>
                <w:tcPr>
                  <w:tcW w:w="941" w:type="pct"/>
                  <w:vAlign w:val="center"/>
                </w:tcPr>
                <w:p w:rsidR="005B2FC7" w:rsidRPr="003E7FFC" w:rsidRDefault="005B2FC7" w:rsidP="00E25794">
                  <w:pPr>
                    <w:pStyle w:val="Letter"/>
                    <w:jc w:val="center"/>
                    <w:rPr>
                      <w:rFonts w:ascii="Times New Roman" w:hAnsi="Times New Roman"/>
                      <w:sz w:val="16"/>
                      <w:szCs w:val="16"/>
                    </w:rPr>
                  </w:pPr>
                  <w:r w:rsidRPr="003E7FFC">
                    <w:rPr>
                      <w:rFonts w:ascii="Times New Roman" w:hAnsi="Times New Roman"/>
                      <w:sz w:val="16"/>
                      <w:szCs w:val="16"/>
                    </w:rPr>
                    <w:t>$</w:t>
                  </w:r>
                  <w:r w:rsidR="00F47708" w:rsidRPr="003E7FFC">
                    <w:rPr>
                      <w:rFonts w:ascii="Times New Roman" w:hAnsi="Times New Roman"/>
                      <w:sz w:val="16"/>
                      <w:szCs w:val="16"/>
                    </w:rPr>
                    <w:t>40</w:t>
                  </w:r>
                  <w:r w:rsidRPr="003E7FFC">
                    <w:rPr>
                      <w:rFonts w:ascii="Times New Roman" w:hAnsi="Times New Roman"/>
                      <w:sz w:val="16"/>
                      <w:szCs w:val="16"/>
                    </w:rPr>
                    <w:t>,000,000</w:t>
                  </w:r>
                </w:p>
              </w:tc>
            </w:tr>
            <w:tr w:rsidR="005B2FC7" w:rsidRPr="003E7FFC" w:rsidTr="005B2FC7">
              <w:tc>
                <w:tcPr>
                  <w:tcW w:w="1104" w:type="pct"/>
                  <w:vAlign w:val="center"/>
                </w:tcPr>
                <w:p w:rsidR="005B2FC7" w:rsidRPr="003E7FFC" w:rsidRDefault="005B2FC7" w:rsidP="00E25794">
                  <w:pPr>
                    <w:pStyle w:val="TableText"/>
                    <w:jc w:val="center"/>
                    <w:rPr>
                      <w:sz w:val="16"/>
                      <w:szCs w:val="16"/>
                    </w:rPr>
                  </w:pPr>
                  <w:r w:rsidRPr="003E7FFC">
                    <w:rPr>
                      <w:sz w:val="16"/>
                      <w:szCs w:val="16"/>
                    </w:rPr>
                    <w:t>BBB-</w:t>
                  </w:r>
                </w:p>
              </w:tc>
              <w:tc>
                <w:tcPr>
                  <w:tcW w:w="933" w:type="pct"/>
                  <w:vAlign w:val="center"/>
                </w:tcPr>
                <w:p w:rsidR="005B2FC7" w:rsidRPr="003E7FFC" w:rsidRDefault="005B2FC7" w:rsidP="00E25794">
                  <w:pPr>
                    <w:pStyle w:val="TableText"/>
                    <w:jc w:val="center"/>
                    <w:rPr>
                      <w:sz w:val="16"/>
                      <w:szCs w:val="16"/>
                    </w:rPr>
                  </w:pPr>
                  <w:r w:rsidRPr="003E7FFC">
                    <w:rPr>
                      <w:sz w:val="16"/>
                      <w:szCs w:val="16"/>
                    </w:rPr>
                    <w:t>Baa3</w:t>
                  </w:r>
                </w:p>
              </w:tc>
              <w:tc>
                <w:tcPr>
                  <w:tcW w:w="933" w:type="pct"/>
                  <w:vAlign w:val="center"/>
                </w:tcPr>
                <w:p w:rsidR="005B2FC7" w:rsidRPr="003E7FFC" w:rsidRDefault="005B2FC7" w:rsidP="00E25794">
                  <w:pPr>
                    <w:pStyle w:val="TableText"/>
                    <w:jc w:val="center"/>
                    <w:rPr>
                      <w:sz w:val="16"/>
                      <w:szCs w:val="16"/>
                    </w:rPr>
                  </w:pPr>
                  <w:r w:rsidRPr="003E7FFC">
                    <w:rPr>
                      <w:sz w:val="16"/>
                      <w:szCs w:val="16"/>
                    </w:rPr>
                    <w:t>BBB-</w:t>
                  </w:r>
                </w:p>
              </w:tc>
              <w:tc>
                <w:tcPr>
                  <w:tcW w:w="1089" w:type="pct"/>
                  <w:vAlign w:val="center"/>
                </w:tcPr>
                <w:p w:rsidR="005B2FC7" w:rsidRPr="003E7FFC" w:rsidRDefault="005B2FC7" w:rsidP="00E25794">
                  <w:pPr>
                    <w:pStyle w:val="Email"/>
                    <w:jc w:val="center"/>
                    <w:rPr>
                      <w:rFonts w:ascii="Times New Roman" w:hAnsi="Times New Roman"/>
                      <w:sz w:val="16"/>
                      <w:szCs w:val="16"/>
                    </w:rPr>
                  </w:pPr>
                  <w:r w:rsidRPr="003E7FFC">
                    <w:rPr>
                      <w:rFonts w:ascii="Times New Roman" w:hAnsi="Times New Roman"/>
                      <w:sz w:val="16"/>
                      <w:szCs w:val="16"/>
                    </w:rPr>
                    <w:t>6% of TNW</w:t>
                  </w:r>
                </w:p>
              </w:tc>
              <w:tc>
                <w:tcPr>
                  <w:tcW w:w="941" w:type="pct"/>
                  <w:vAlign w:val="center"/>
                </w:tcPr>
                <w:p w:rsidR="005B2FC7" w:rsidRPr="003E7FFC" w:rsidRDefault="005B2FC7" w:rsidP="00E25794">
                  <w:pPr>
                    <w:pStyle w:val="Letter"/>
                    <w:jc w:val="center"/>
                    <w:rPr>
                      <w:rFonts w:ascii="Times New Roman" w:hAnsi="Times New Roman"/>
                      <w:sz w:val="16"/>
                      <w:szCs w:val="16"/>
                    </w:rPr>
                  </w:pPr>
                  <w:r w:rsidRPr="003E7FFC">
                    <w:rPr>
                      <w:rFonts w:ascii="Times New Roman" w:hAnsi="Times New Roman"/>
                      <w:sz w:val="16"/>
                      <w:szCs w:val="16"/>
                    </w:rPr>
                    <w:t>$</w:t>
                  </w:r>
                  <w:r w:rsidR="00F47708" w:rsidRPr="003E7FFC">
                    <w:rPr>
                      <w:rFonts w:ascii="Times New Roman" w:hAnsi="Times New Roman"/>
                      <w:sz w:val="16"/>
                      <w:szCs w:val="16"/>
                    </w:rPr>
                    <w:t>20</w:t>
                  </w:r>
                  <w:r w:rsidRPr="003E7FFC">
                    <w:rPr>
                      <w:rFonts w:ascii="Times New Roman" w:hAnsi="Times New Roman"/>
                      <w:sz w:val="16"/>
                      <w:szCs w:val="16"/>
                    </w:rPr>
                    <w:t>,000,000</w:t>
                  </w:r>
                </w:p>
              </w:tc>
            </w:tr>
            <w:tr w:rsidR="005B2FC7" w:rsidRPr="003E7FFC" w:rsidTr="005B2FC7">
              <w:tc>
                <w:tcPr>
                  <w:tcW w:w="1104" w:type="pct"/>
                  <w:vAlign w:val="center"/>
                </w:tcPr>
                <w:p w:rsidR="005B2FC7" w:rsidRPr="003E7FFC" w:rsidRDefault="005B2FC7" w:rsidP="00E25794">
                  <w:pPr>
                    <w:pStyle w:val="TableText"/>
                    <w:jc w:val="center"/>
                    <w:rPr>
                      <w:sz w:val="16"/>
                      <w:szCs w:val="16"/>
                    </w:rPr>
                  </w:pPr>
                  <w:r w:rsidRPr="003E7FFC">
                    <w:rPr>
                      <w:sz w:val="16"/>
                      <w:szCs w:val="16"/>
                    </w:rPr>
                    <w:t>Below BBB-</w:t>
                  </w:r>
                </w:p>
              </w:tc>
              <w:tc>
                <w:tcPr>
                  <w:tcW w:w="933" w:type="pct"/>
                  <w:vAlign w:val="center"/>
                </w:tcPr>
                <w:p w:rsidR="005B2FC7" w:rsidRPr="003E7FFC" w:rsidRDefault="005B2FC7" w:rsidP="00E25794">
                  <w:pPr>
                    <w:pStyle w:val="TableText"/>
                    <w:jc w:val="center"/>
                    <w:rPr>
                      <w:sz w:val="16"/>
                      <w:szCs w:val="16"/>
                    </w:rPr>
                  </w:pPr>
                  <w:r w:rsidRPr="003E7FFC">
                    <w:rPr>
                      <w:sz w:val="16"/>
                      <w:szCs w:val="16"/>
                    </w:rPr>
                    <w:t>Below Baa3</w:t>
                  </w:r>
                </w:p>
              </w:tc>
              <w:tc>
                <w:tcPr>
                  <w:tcW w:w="933" w:type="pct"/>
                  <w:vAlign w:val="center"/>
                </w:tcPr>
                <w:p w:rsidR="005B2FC7" w:rsidRPr="003E7FFC" w:rsidRDefault="005B2FC7" w:rsidP="00E25794">
                  <w:pPr>
                    <w:pStyle w:val="TableText"/>
                    <w:jc w:val="center"/>
                    <w:rPr>
                      <w:sz w:val="16"/>
                      <w:szCs w:val="16"/>
                    </w:rPr>
                  </w:pPr>
                  <w:r w:rsidRPr="003E7FFC">
                    <w:rPr>
                      <w:sz w:val="16"/>
                      <w:szCs w:val="16"/>
                    </w:rPr>
                    <w:t>Below BBB-</w:t>
                  </w:r>
                </w:p>
              </w:tc>
              <w:tc>
                <w:tcPr>
                  <w:tcW w:w="1089" w:type="pct"/>
                  <w:vAlign w:val="center"/>
                </w:tcPr>
                <w:p w:rsidR="005B2FC7" w:rsidRPr="003E7FFC" w:rsidRDefault="005B2FC7" w:rsidP="00E25794">
                  <w:pPr>
                    <w:pStyle w:val="Email"/>
                    <w:jc w:val="center"/>
                    <w:rPr>
                      <w:rFonts w:ascii="Times New Roman" w:hAnsi="Times New Roman"/>
                      <w:sz w:val="16"/>
                      <w:szCs w:val="16"/>
                    </w:rPr>
                  </w:pPr>
                  <w:r w:rsidRPr="003E7FFC">
                    <w:rPr>
                      <w:rFonts w:ascii="Times New Roman" w:hAnsi="Times New Roman"/>
                      <w:sz w:val="16"/>
                      <w:szCs w:val="16"/>
                    </w:rPr>
                    <w:t>0% of TNW</w:t>
                  </w:r>
                </w:p>
              </w:tc>
              <w:tc>
                <w:tcPr>
                  <w:tcW w:w="941" w:type="pct"/>
                  <w:vAlign w:val="center"/>
                </w:tcPr>
                <w:p w:rsidR="005B2FC7" w:rsidRPr="003E7FFC" w:rsidRDefault="005B2FC7" w:rsidP="00E25794">
                  <w:pPr>
                    <w:pStyle w:val="Letter"/>
                    <w:jc w:val="center"/>
                    <w:rPr>
                      <w:rFonts w:ascii="Times New Roman" w:hAnsi="Times New Roman"/>
                      <w:sz w:val="16"/>
                      <w:szCs w:val="16"/>
                    </w:rPr>
                  </w:pPr>
                  <w:r w:rsidRPr="003E7FFC">
                    <w:rPr>
                      <w:rFonts w:ascii="Times New Roman" w:hAnsi="Times New Roman"/>
                      <w:sz w:val="16"/>
                      <w:szCs w:val="16"/>
                    </w:rPr>
                    <w:t>0</w:t>
                  </w:r>
                </w:p>
              </w:tc>
            </w:tr>
          </w:tbl>
          <w:p w:rsidR="00BE41D9" w:rsidRPr="003E7FFC" w:rsidRDefault="00BE41D9" w:rsidP="00426331">
            <w:pPr>
              <w:pStyle w:val="coverbody"/>
              <w:spacing w:after="0"/>
            </w:pPr>
          </w:p>
          <w:p w:rsidR="005B2FC7" w:rsidRPr="003E7FFC" w:rsidRDefault="005B2FC7" w:rsidP="00DC6A71">
            <w:pPr>
              <w:pStyle w:val="coverbody"/>
              <w:spacing w:after="240"/>
              <w:ind w:left="766"/>
            </w:pPr>
            <w:r w:rsidRPr="003E7FFC">
              <w:t>If Party A, or its Guarantor, is rated by only one rating agency, that rating will be used</w:t>
            </w:r>
            <w:r w:rsidR="002B35C9">
              <w:t xml:space="preserve">.  </w:t>
            </w:r>
            <w:r w:rsidRPr="003E7FFC">
              <w:t>If Party A, or its Guarantor, is rated by only two rating agencies, and the ratings are split, the lower rating will be used</w:t>
            </w:r>
            <w:r w:rsidR="002B35C9">
              <w:t xml:space="preserve">.  </w:t>
            </w:r>
            <w:r w:rsidRPr="003E7FFC">
              <w:t>If Party A, or its Guarantor, is rated by three rating agencies, and the ratings are split, the lower of the two highest ratings will be used; provided that in the event that the two highest ratings are common, such common rating will be used</w:t>
            </w:r>
            <w:r w:rsidR="002B35C9">
              <w:t xml:space="preserve">.  </w:t>
            </w:r>
          </w:p>
          <w:p w:rsidR="007130CD" w:rsidRPr="003E7FFC" w:rsidRDefault="005B2FC7" w:rsidP="00DC6A71">
            <w:pPr>
              <w:pStyle w:val="coverbody"/>
              <w:spacing w:after="240"/>
              <w:ind w:left="766"/>
            </w:pPr>
            <w:bookmarkStart w:id="5" w:name="OLE_LINK2"/>
            <w:bookmarkStart w:id="6" w:name="OLE_LINK3"/>
            <w:bookmarkStart w:id="7" w:name="OLE_LINK4"/>
            <w:bookmarkStart w:id="8" w:name="OLE_LINK5"/>
            <w:bookmarkStart w:id="9" w:name="OLE_LINK6"/>
            <w:r w:rsidRPr="003E7FFC">
              <w:t xml:space="preserve">The Maximum Collateral Threshold Amount specified in the table above represents the aggregate unsecured credit that Party A </w:t>
            </w:r>
            <w:r w:rsidR="00CA047A" w:rsidRPr="003E7FFC">
              <w:t xml:space="preserve">(together with its Affiliates) </w:t>
            </w:r>
            <w:r w:rsidRPr="003E7FFC">
              <w:t>or its Guarantor</w:t>
            </w:r>
            <w:proofErr w:type="gramStart"/>
            <w:r w:rsidRPr="003E7FFC">
              <w:t>, as the case may be, may</w:t>
            </w:r>
            <w:proofErr w:type="gramEnd"/>
            <w:r w:rsidRPr="003E7FFC">
              <w:t xml:space="preserve"> have under all Supply Contracts (including th</w:t>
            </w:r>
            <w:r w:rsidR="00E25C40" w:rsidRPr="003E7FFC">
              <w:t>e</w:t>
            </w:r>
            <w:r w:rsidRPr="003E7FFC">
              <w:t xml:space="preserve"> Agreement)</w:t>
            </w:r>
            <w:r w:rsidR="002B35C9">
              <w:t xml:space="preserve">.  </w:t>
            </w:r>
            <w:r w:rsidRPr="003E7FFC">
              <w:t xml:space="preserve">Thus, where Party A </w:t>
            </w:r>
            <w:r w:rsidR="00CA047A" w:rsidRPr="003E7FFC">
              <w:t xml:space="preserve">or any of its Affiliates </w:t>
            </w:r>
            <w:r w:rsidRPr="003E7FFC">
              <w:t>is a party to one or more effective Supply Contracts, or where Party A</w:t>
            </w:r>
            <w:r w:rsidR="00A34C9E">
              <w:t>’</w:t>
            </w:r>
            <w:r w:rsidRPr="003E7FFC">
              <w:t xml:space="preserve">s Guarantor has guaranteed one or more effective Supply Contracts, the amount of available unsecured credit under </w:t>
            </w:r>
            <w:r w:rsidR="00E25C40" w:rsidRPr="003E7FFC">
              <w:t>the</w:t>
            </w:r>
            <w:r w:rsidRPr="003E7FFC">
              <w:t xml:space="preserve"> Agreement shall equal the excess, if any, of the </w:t>
            </w:r>
            <w:r w:rsidR="00AA71B0" w:rsidRPr="003E7FFC">
              <w:t xml:space="preserve">lower of (i) the </w:t>
            </w:r>
            <w:r w:rsidRPr="003E7FFC">
              <w:t xml:space="preserve">Maximum Collateral Threshold specified </w:t>
            </w:r>
            <w:r w:rsidR="00995EB0" w:rsidRPr="003E7FFC">
              <w:t xml:space="preserve">in the table </w:t>
            </w:r>
            <w:r w:rsidRPr="003E7FFC">
              <w:t xml:space="preserve">above </w:t>
            </w:r>
            <w:r w:rsidR="00AA71B0" w:rsidRPr="003E7FFC">
              <w:t xml:space="preserve">or (ii) the amount of the Guaranty Amount if Party A relies upon a Guarantor, </w:t>
            </w:r>
            <w:r w:rsidRPr="003E7FFC">
              <w:t>over the total amount of unsecured credit, if any, used under  all other Supply Contracts</w:t>
            </w:r>
            <w:r w:rsidR="00CA047A" w:rsidRPr="003E7FFC">
              <w:t xml:space="preserve"> to which Party A or any of its Affiliates is a Party</w:t>
            </w:r>
            <w:r w:rsidR="002B35C9">
              <w:t xml:space="preserve">.  </w:t>
            </w:r>
            <w:r w:rsidRPr="003E7FFC">
              <w:t>If a change in the credit rating of Party A</w:t>
            </w:r>
            <w:r w:rsidR="00A34C9E">
              <w:t>’</w:t>
            </w:r>
            <w:r w:rsidRPr="003E7FFC">
              <w:t>s Guarantor lowers the amount of unsecured collateral it is entitled to under th</w:t>
            </w:r>
            <w:r w:rsidR="00E25C40" w:rsidRPr="003E7FFC">
              <w:t>e</w:t>
            </w:r>
            <w:r w:rsidRPr="003E7FFC">
              <w:t xml:space="preserve"> Agreement, such change in unsecured collateral will be ratably apportioned to all parties supported </w:t>
            </w:r>
            <w:r w:rsidRPr="003E7FFC">
              <w:lastRenderedPageBreak/>
              <w:t>by the Guarantor</w:t>
            </w:r>
            <w:r w:rsidR="002B35C9">
              <w:t xml:space="preserve">.  </w:t>
            </w:r>
            <w:r w:rsidR="00177269" w:rsidRPr="003E7FFC">
              <w:t>For the sake of clarity and the avoidance of doubt, nothing in th</w:t>
            </w:r>
            <w:r w:rsidR="00E25C40" w:rsidRPr="003E7FFC">
              <w:t>e</w:t>
            </w:r>
            <w:r w:rsidR="00177269" w:rsidRPr="003E7FFC">
              <w:t xml:space="preserve"> Agreement changes the Maximum Collateral Threshold applicable in other effective Supply Contracts</w:t>
            </w:r>
            <w:r w:rsidR="0075737A" w:rsidRPr="003E7FFC">
              <w:t xml:space="preserve"> entered into prior to th</w:t>
            </w:r>
            <w:r w:rsidR="00E25C40" w:rsidRPr="003E7FFC">
              <w:t>e</w:t>
            </w:r>
            <w:r w:rsidR="0075737A" w:rsidRPr="003E7FFC">
              <w:t xml:space="preserve"> Agreement</w:t>
            </w:r>
            <w:r w:rsidR="00177269" w:rsidRPr="003E7FFC">
              <w:t>, and the amount of available unsecured credit under any such other effective Supply Contract shall be determined in accordance with the terms of that other effective Supply Contract</w:t>
            </w:r>
            <w:bookmarkEnd w:id="5"/>
            <w:bookmarkEnd w:id="6"/>
            <w:bookmarkEnd w:id="7"/>
            <w:bookmarkEnd w:id="8"/>
            <w:bookmarkEnd w:id="9"/>
            <w:r w:rsidR="002B35C9">
              <w:t xml:space="preserve">.  </w:t>
            </w:r>
          </w:p>
          <w:p w:rsidR="002E3E43" w:rsidRDefault="007130CD" w:rsidP="00DC6A71">
            <w:pPr>
              <w:pStyle w:val="BodyText"/>
              <w:spacing w:after="240"/>
              <w:rPr>
                <w:kern w:val="28"/>
                <w:sz w:val="20"/>
              </w:rPr>
            </w:pPr>
            <w:r w:rsidRPr="003E7FFC">
              <w:rPr>
                <w:kern w:val="28"/>
                <w:sz w:val="20"/>
              </w:rPr>
              <w:t xml:space="preserve">Section I, Subsection B is </w:t>
            </w:r>
            <w:r w:rsidR="00107BA3" w:rsidRPr="003E7FFC">
              <w:rPr>
                <w:kern w:val="28"/>
                <w:sz w:val="20"/>
              </w:rPr>
              <w:t xml:space="preserve">amended by deleting all the language that appears under the heading and replacing it with </w:t>
            </w:r>
            <w:r w:rsidR="00A34C9E">
              <w:rPr>
                <w:kern w:val="28"/>
                <w:sz w:val="20"/>
              </w:rPr>
              <w:t>“</w:t>
            </w:r>
            <w:r w:rsidR="00107BA3" w:rsidRPr="003E7FFC">
              <w:rPr>
                <w:kern w:val="28"/>
                <w:sz w:val="20"/>
              </w:rPr>
              <w:t>Not Applicable.</w:t>
            </w:r>
            <w:r w:rsidR="00A34C9E">
              <w:rPr>
                <w:kern w:val="28"/>
                <w:sz w:val="20"/>
              </w:rPr>
              <w:t>”</w:t>
            </w:r>
            <w:r w:rsidR="00107BA3" w:rsidRPr="003E7FFC">
              <w:rPr>
                <w:kern w:val="28"/>
                <w:sz w:val="20"/>
              </w:rPr>
              <w:t xml:space="preserve"> </w:t>
            </w:r>
          </w:p>
          <w:p w:rsidR="00DE479B" w:rsidRPr="00DC6A71" w:rsidRDefault="00DE479B" w:rsidP="00DC6A71">
            <w:pPr>
              <w:pStyle w:val="BodyText"/>
              <w:spacing w:after="240"/>
              <w:rPr>
                <w:kern w:val="28"/>
                <w:sz w:val="20"/>
              </w:rPr>
            </w:pPr>
            <w:r w:rsidRPr="003E7FFC">
              <w:rPr>
                <w:kern w:val="28"/>
                <w:sz w:val="20"/>
              </w:rPr>
              <w:t xml:space="preserve">Section VI, Subsection B is replaced in its entirety with the following: </w:t>
            </w:r>
          </w:p>
          <w:p w:rsidR="00DE479B" w:rsidRPr="003E7FFC" w:rsidRDefault="00DE479B" w:rsidP="00DC6A71">
            <w:pPr>
              <w:pStyle w:val="BodyTextIndent20"/>
              <w:spacing w:after="240"/>
              <w:rPr>
                <w:kern w:val="28"/>
              </w:rPr>
            </w:pPr>
            <w:r w:rsidRPr="003E7FFC">
              <w:rPr>
                <w:kern w:val="28"/>
              </w:rPr>
              <w:t>Party B Eligibility to Hold Cash.</w:t>
            </w:r>
          </w:p>
          <w:p w:rsidR="00DE479B" w:rsidRPr="003E7FFC" w:rsidRDefault="00DE479B" w:rsidP="00DC6A71">
            <w:pPr>
              <w:pStyle w:val="BodyTextIndent20"/>
              <w:spacing w:after="240"/>
              <w:rPr>
                <w:kern w:val="28"/>
              </w:rPr>
            </w:pPr>
            <w:r w:rsidRPr="003E7FFC">
              <w:rPr>
                <w:sz w:val="24"/>
                <w:szCs w:val="24"/>
              </w:rPr>
              <w:sym w:font="Wingdings 2" w:char="F02A"/>
            </w:r>
            <w:r w:rsidRPr="003E7FFC">
              <w:rPr>
                <w:kern w:val="28"/>
              </w:rPr>
              <w:tab/>
              <w:t>Party B shall not be entitled to hold Performance Assurance in the form of Cash</w:t>
            </w:r>
            <w:r w:rsidR="002B35C9">
              <w:rPr>
                <w:kern w:val="28"/>
              </w:rPr>
              <w:t xml:space="preserve">.  </w:t>
            </w:r>
            <w:r w:rsidRPr="003E7FFC">
              <w:rPr>
                <w:kern w:val="28"/>
              </w:rPr>
              <w:t>Performance Assurance in the form of Cash shall be held in a Qualified Institution in accordance with the provisions of Paragraph 6(a)(ii)(B) of the Collateral Annex</w:t>
            </w:r>
            <w:r w:rsidR="002B35C9">
              <w:rPr>
                <w:kern w:val="28"/>
              </w:rPr>
              <w:t xml:space="preserve">.  </w:t>
            </w:r>
            <w:r w:rsidRPr="003E7FFC">
              <w:rPr>
                <w:kern w:val="28"/>
              </w:rPr>
              <w:t>Party B shall pay to Party A in accordance with the terms of the Collateral Annex the amount of interest, net of all fees, it receives from the Qualified Institution on any Performance Assurance in the form of Cash posted by Party A</w:t>
            </w:r>
            <w:r w:rsidR="002B35C9">
              <w:rPr>
                <w:kern w:val="28"/>
              </w:rPr>
              <w:t xml:space="preserve">.  </w:t>
            </w:r>
            <w:r w:rsidR="0048644A" w:rsidRPr="003E7FFC">
              <w:rPr>
                <w:kern w:val="28"/>
              </w:rPr>
              <w:t xml:space="preserve">For the sake of clarity and the avoidance of doubt, </w:t>
            </w:r>
            <w:r w:rsidR="00510CD7" w:rsidRPr="003E7FFC">
              <w:rPr>
                <w:b/>
                <w:kern w:val="28"/>
              </w:rPr>
              <w:t xml:space="preserve">Party A shall be responsible for the payment of all fees </w:t>
            </w:r>
            <w:r w:rsidR="00E25C40" w:rsidRPr="003E7FFC">
              <w:rPr>
                <w:b/>
                <w:kern w:val="28"/>
              </w:rPr>
              <w:t xml:space="preserve">assessed </w:t>
            </w:r>
            <w:r w:rsidR="00510CD7" w:rsidRPr="003E7FFC">
              <w:rPr>
                <w:b/>
                <w:kern w:val="28"/>
              </w:rPr>
              <w:t>by the Qualified Institution</w:t>
            </w:r>
            <w:r w:rsidR="008C1CF5" w:rsidRPr="003E7FFC">
              <w:rPr>
                <w:b/>
                <w:kern w:val="28"/>
              </w:rPr>
              <w:t xml:space="preserve"> with respect to Performance Assurance posted by Party A</w:t>
            </w:r>
            <w:r w:rsidR="00510CD7" w:rsidRPr="003E7FFC">
              <w:rPr>
                <w:b/>
                <w:kern w:val="28"/>
              </w:rPr>
              <w:t>.</w:t>
            </w:r>
          </w:p>
          <w:p w:rsidR="00DE479B" w:rsidRPr="003E7FFC" w:rsidRDefault="00DE479B" w:rsidP="00DC6A71">
            <w:pPr>
              <w:pStyle w:val="BodyTextIndent20"/>
              <w:spacing w:after="240"/>
              <w:rPr>
                <w:kern w:val="28"/>
              </w:rPr>
            </w:pPr>
            <w:r w:rsidRPr="003E7FFC">
              <w:rPr>
                <w:sz w:val="24"/>
                <w:szCs w:val="24"/>
              </w:rPr>
              <w:sym w:font="Wingdings 2" w:char="F02A"/>
            </w:r>
            <w:r w:rsidRPr="003E7FFC">
              <w:rPr>
                <w:kern w:val="28"/>
              </w:rPr>
              <w:tab/>
              <w:t>Party B shall be entitled to hold Performance Assurance in the form of Cash provided that the following conditions are satisfied:  (1) it is not a Defaulting Party, (2), [Party B][Party B</w:t>
            </w:r>
            <w:r w:rsidR="00A34C9E">
              <w:rPr>
                <w:kern w:val="28"/>
              </w:rPr>
              <w:t>’</w:t>
            </w:r>
            <w:r w:rsidRPr="003E7FFC">
              <w:rPr>
                <w:kern w:val="28"/>
              </w:rPr>
              <w:t>s Guarantor] has a Credit Rating that is investment grade; and (3) Cash shall be held only in any jurisdiction within the United States</w:t>
            </w:r>
            <w:r w:rsidR="002B35C9">
              <w:rPr>
                <w:kern w:val="28"/>
              </w:rPr>
              <w:t xml:space="preserve">.  </w:t>
            </w:r>
            <w:r w:rsidRPr="003E7FFC">
              <w:rPr>
                <w:kern w:val="28"/>
              </w:rPr>
              <w:t>To the extent Party B is entitled to hold Cash, the Interest Rate payable to Party A on Cash shall be as selected below:</w:t>
            </w:r>
          </w:p>
          <w:p w:rsidR="00DE479B" w:rsidRPr="003E7FFC" w:rsidRDefault="00DE479B" w:rsidP="00DC6A71">
            <w:pPr>
              <w:pStyle w:val="BodyTextIndent20"/>
              <w:spacing w:after="240"/>
              <w:rPr>
                <w:kern w:val="28"/>
              </w:rPr>
            </w:pPr>
            <w:r w:rsidRPr="003E7FFC">
              <w:rPr>
                <w:kern w:val="28"/>
              </w:rPr>
              <w:t>Party B Interest Rate.</w:t>
            </w:r>
          </w:p>
          <w:p w:rsidR="00DE479B" w:rsidRPr="003E7FFC" w:rsidRDefault="00DE479B" w:rsidP="00DC6A71">
            <w:pPr>
              <w:pStyle w:val="BodyTextIndent20"/>
              <w:spacing w:after="240"/>
              <w:ind w:left="1440"/>
              <w:rPr>
                <w:kern w:val="28"/>
              </w:rPr>
            </w:pPr>
            <w:r w:rsidRPr="003E7FFC">
              <w:rPr>
                <w:sz w:val="24"/>
                <w:szCs w:val="24"/>
              </w:rPr>
              <w:sym w:font="Wingdings 2" w:char="F02A"/>
            </w:r>
            <w:r w:rsidRPr="003E7FFC">
              <w:rPr>
                <w:kern w:val="28"/>
              </w:rPr>
              <w:tab/>
              <w:t xml:space="preserve">Federal Funds Effective Rate - the rate for that day opposite the caption </w:t>
            </w:r>
            <w:r w:rsidR="00A34C9E">
              <w:rPr>
                <w:kern w:val="28"/>
              </w:rPr>
              <w:t>“</w:t>
            </w:r>
            <w:r w:rsidRPr="003E7FFC">
              <w:rPr>
                <w:kern w:val="28"/>
              </w:rPr>
              <w:t>Federal Funds (Effective)</w:t>
            </w:r>
            <w:r w:rsidR="00A34C9E">
              <w:rPr>
                <w:kern w:val="28"/>
              </w:rPr>
              <w:t>”</w:t>
            </w:r>
            <w:r w:rsidRPr="003E7FFC">
              <w:rPr>
                <w:kern w:val="28"/>
              </w:rPr>
              <w:t xml:space="preserve"> as set forth in the weekly statistical release designated as H.15(519), or any successor publication, published by the Board of Governors of the Federal Reserve System.</w:t>
            </w:r>
          </w:p>
          <w:p w:rsidR="00DE479B" w:rsidRPr="003E7FFC" w:rsidRDefault="00DE479B" w:rsidP="00DC6A71">
            <w:pPr>
              <w:pStyle w:val="BodyText"/>
              <w:spacing w:after="240"/>
              <w:ind w:left="1440"/>
              <w:rPr>
                <w:kern w:val="28"/>
                <w:sz w:val="20"/>
              </w:rPr>
            </w:pPr>
            <w:r w:rsidRPr="003E7FFC">
              <w:rPr>
                <w:sz w:val="20"/>
              </w:rPr>
              <w:sym w:font="Wingdings 2" w:char="F054"/>
            </w:r>
            <w:r w:rsidRPr="003E7FFC">
              <w:rPr>
                <w:kern w:val="28"/>
                <w:sz w:val="20"/>
              </w:rPr>
              <w:tab/>
              <w:t>Other - _____0%_______</w:t>
            </w:r>
          </w:p>
          <w:p w:rsidR="00107BA3" w:rsidRPr="00DC6A71" w:rsidRDefault="000C1BA6" w:rsidP="00DC6A71">
            <w:pPr>
              <w:pStyle w:val="BodyText"/>
              <w:spacing w:after="240"/>
              <w:rPr>
                <w:kern w:val="28"/>
                <w:sz w:val="20"/>
              </w:rPr>
            </w:pPr>
            <w:r w:rsidRPr="003E7FFC">
              <w:rPr>
                <w:kern w:val="28"/>
                <w:sz w:val="20"/>
              </w:rPr>
              <w:t>Section VIII, General is amended by deleting everything after the first sentence</w:t>
            </w:r>
            <w:r w:rsidR="002B35C9">
              <w:rPr>
                <w:kern w:val="28"/>
                <w:sz w:val="20"/>
              </w:rPr>
              <w:t xml:space="preserve">.  </w:t>
            </w:r>
          </w:p>
          <w:p w:rsidR="00AE021A" w:rsidRPr="003E7FFC" w:rsidRDefault="007130CD" w:rsidP="00DC6A71">
            <w:pPr>
              <w:pStyle w:val="BodyText"/>
              <w:spacing w:after="240"/>
              <w:rPr>
                <w:b/>
                <w:sz w:val="20"/>
              </w:rPr>
            </w:pPr>
            <w:r w:rsidRPr="003E7FFC">
              <w:rPr>
                <w:b/>
                <w:sz w:val="20"/>
              </w:rPr>
              <w:t>10</w:t>
            </w:r>
            <w:r w:rsidR="002B35C9">
              <w:rPr>
                <w:b/>
                <w:sz w:val="20"/>
              </w:rPr>
              <w:t xml:space="preserve">.  </w:t>
            </w:r>
            <w:r w:rsidR="00AE021A" w:rsidRPr="003E7FFC">
              <w:rPr>
                <w:b/>
                <w:sz w:val="20"/>
              </w:rPr>
              <w:t>Schedule 1 and Schedule 1a to the Collateral Annex</w:t>
            </w:r>
          </w:p>
          <w:p w:rsidR="00025616" w:rsidRPr="003E7FFC" w:rsidRDefault="00AE021A" w:rsidP="00DC6A71">
            <w:pPr>
              <w:pStyle w:val="BodyText"/>
              <w:spacing w:after="240"/>
              <w:rPr>
                <w:sz w:val="20"/>
              </w:rPr>
            </w:pPr>
            <w:r w:rsidRPr="003E7FFC">
              <w:rPr>
                <w:sz w:val="20"/>
              </w:rPr>
              <w:t>Schedule 1 to the Collateral Annex is deleted in its entirety and replaced with the attached Schedule 1a, the Standard Letter of Credit, including Exhibit A, the Letter of Full Transfer</w:t>
            </w:r>
            <w:r w:rsidR="002B35C9">
              <w:rPr>
                <w:sz w:val="20"/>
              </w:rPr>
              <w:t xml:space="preserve">.  </w:t>
            </w:r>
          </w:p>
          <w:p w:rsidR="007130CD" w:rsidRPr="003E7FFC" w:rsidRDefault="007130CD" w:rsidP="00DC6A71">
            <w:pPr>
              <w:pStyle w:val="BodyText"/>
              <w:spacing w:after="240"/>
              <w:rPr>
                <w:b/>
                <w:sz w:val="20"/>
              </w:rPr>
            </w:pPr>
            <w:r w:rsidRPr="003E7FFC">
              <w:rPr>
                <w:b/>
                <w:sz w:val="20"/>
              </w:rPr>
              <w:t>11</w:t>
            </w:r>
            <w:r w:rsidR="002B35C9">
              <w:rPr>
                <w:b/>
                <w:sz w:val="20"/>
              </w:rPr>
              <w:t xml:space="preserve">.  </w:t>
            </w:r>
            <w:r w:rsidRPr="003E7FFC">
              <w:rPr>
                <w:b/>
                <w:sz w:val="20"/>
              </w:rPr>
              <w:t>Schedule 2 to the Collateral Annex</w:t>
            </w:r>
          </w:p>
          <w:p w:rsidR="00D631F9" w:rsidRPr="00DC6A71" w:rsidRDefault="007130CD" w:rsidP="00DC6A71">
            <w:pPr>
              <w:pStyle w:val="BodyText"/>
              <w:spacing w:after="240"/>
              <w:rPr>
                <w:sz w:val="20"/>
              </w:rPr>
            </w:pPr>
            <w:r w:rsidRPr="003E7FFC">
              <w:rPr>
                <w:sz w:val="20"/>
              </w:rPr>
              <w:t>The Collateral Annex is amended to include Schedule 2, the Standard Guaranty.</w:t>
            </w:r>
          </w:p>
          <w:p w:rsidR="00885FB8" w:rsidRPr="003E7FFC" w:rsidRDefault="00885FB8" w:rsidP="00DC6A71">
            <w:pPr>
              <w:pStyle w:val="BodyTextIndent20"/>
              <w:spacing w:after="240"/>
              <w:ind w:left="14"/>
              <w:rPr>
                <w:b/>
              </w:rPr>
            </w:pPr>
            <w:r w:rsidRPr="003E7FFC">
              <w:rPr>
                <w:b/>
              </w:rPr>
              <w:lastRenderedPageBreak/>
              <w:t>12</w:t>
            </w:r>
            <w:r w:rsidR="002B35C9">
              <w:rPr>
                <w:b/>
              </w:rPr>
              <w:t xml:space="preserve">.  </w:t>
            </w:r>
            <w:r w:rsidRPr="003E7FFC">
              <w:rPr>
                <w:b/>
              </w:rPr>
              <w:t>Schedule 2B to the Collateral Annex</w:t>
            </w:r>
          </w:p>
          <w:p w:rsidR="00B82A1F" w:rsidRPr="00DC6A71" w:rsidRDefault="00885FB8" w:rsidP="00DC6A71">
            <w:pPr>
              <w:pStyle w:val="BodyTextIndent20"/>
              <w:spacing w:after="240"/>
              <w:ind w:left="0"/>
            </w:pPr>
            <w:r w:rsidRPr="003E7FFC">
              <w:t>The Collateral Annex is amended to include Schedule 2B, the Requirements Applicable to Foreign Entities.</w:t>
            </w:r>
          </w:p>
          <w:p w:rsidR="007130CD" w:rsidRPr="003E7FFC" w:rsidRDefault="00885FB8" w:rsidP="00DC6A71">
            <w:pPr>
              <w:pStyle w:val="BodyText"/>
              <w:spacing w:after="240"/>
              <w:rPr>
                <w:b/>
                <w:sz w:val="20"/>
              </w:rPr>
            </w:pPr>
            <w:r w:rsidRPr="003E7FFC">
              <w:rPr>
                <w:b/>
                <w:sz w:val="20"/>
              </w:rPr>
              <w:t>13</w:t>
            </w:r>
            <w:r w:rsidR="002B35C9">
              <w:rPr>
                <w:b/>
                <w:sz w:val="20"/>
              </w:rPr>
              <w:t xml:space="preserve">.  </w:t>
            </w:r>
            <w:r w:rsidR="007130CD" w:rsidRPr="003E7FFC">
              <w:rPr>
                <w:b/>
                <w:sz w:val="20"/>
              </w:rPr>
              <w:t>Schedule 3 to the Collateral Annex</w:t>
            </w:r>
          </w:p>
          <w:p w:rsidR="007130CD" w:rsidRPr="003E7FFC" w:rsidRDefault="007130CD" w:rsidP="00DC6A71">
            <w:pPr>
              <w:pStyle w:val="BodyText"/>
              <w:spacing w:after="240"/>
              <w:rPr>
                <w:sz w:val="20"/>
              </w:rPr>
            </w:pPr>
            <w:r w:rsidRPr="003E7FFC">
              <w:rPr>
                <w:sz w:val="20"/>
              </w:rPr>
              <w:t>The Collateral Annex is amended to include Schedule 3, the Mark-to-Market Value Calculation Methodology.</w:t>
            </w:r>
          </w:p>
          <w:p w:rsidR="007130CD" w:rsidRPr="003E7FFC" w:rsidRDefault="007130CD" w:rsidP="00DC6A71">
            <w:pPr>
              <w:tabs>
                <w:tab w:val="right" w:pos="6012"/>
              </w:tabs>
              <w:spacing w:after="240"/>
              <w:rPr>
                <w:sz w:val="20"/>
              </w:rPr>
            </w:pPr>
            <w:r w:rsidRPr="003E7FFC">
              <w:rPr>
                <w:sz w:val="20"/>
                <w:u w:val="single"/>
              </w:rPr>
              <w:tab/>
            </w:r>
          </w:p>
        </w:tc>
      </w:tr>
      <w:tr w:rsidR="00627CC3" w:rsidRPr="003E7FFC" w:rsidTr="00630B2F">
        <w:tc>
          <w:tcPr>
            <w:tcW w:w="3348" w:type="dxa"/>
            <w:gridSpan w:val="2"/>
          </w:tcPr>
          <w:p w:rsidR="00627CC3" w:rsidRPr="003E7FFC" w:rsidRDefault="00627CC3">
            <w:pPr>
              <w:tabs>
                <w:tab w:val="right" w:pos="3060"/>
              </w:tabs>
              <w:spacing w:after="200"/>
              <w:rPr>
                <w:b/>
                <w:sz w:val="20"/>
                <w:u w:val="single"/>
              </w:rPr>
            </w:pPr>
          </w:p>
        </w:tc>
        <w:tc>
          <w:tcPr>
            <w:tcW w:w="6858" w:type="dxa"/>
            <w:gridSpan w:val="5"/>
          </w:tcPr>
          <w:p w:rsidR="00627CC3" w:rsidRPr="003E7FFC" w:rsidRDefault="00627CC3">
            <w:pPr>
              <w:pStyle w:val="BlockText"/>
            </w:pPr>
          </w:p>
        </w:tc>
      </w:tr>
    </w:tbl>
    <w:p w:rsidR="007130CD" w:rsidRPr="003E7FFC" w:rsidRDefault="007130CD">
      <w:pPr>
        <w:rPr>
          <w:sz w:val="20"/>
        </w:rPr>
      </w:pPr>
    </w:p>
    <w:p w:rsidR="007130CD" w:rsidRPr="003E7FFC" w:rsidRDefault="007130CD" w:rsidP="00886F77">
      <w:pPr>
        <w:rPr>
          <w:sz w:val="20"/>
        </w:rPr>
      </w:pPr>
      <w:r w:rsidRPr="003E7FFC">
        <w:rPr>
          <w:sz w:val="20"/>
        </w:rPr>
        <w:t>IN WITNESS WHEREOF, the Parties have caused this Master Agreement to be duly executed as of the date first above written.</w:t>
      </w:r>
    </w:p>
    <w:p w:rsidR="00EE51D5" w:rsidRPr="003E7FFC" w:rsidRDefault="00EE51D5">
      <w:pPr>
        <w:pStyle w:val="Signature-dbl"/>
        <w:rPr>
          <w:sz w:val="20"/>
        </w:rPr>
      </w:pPr>
      <w:r w:rsidRPr="003E7FFC">
        <w:rPr>
          <w:sz w:val="20"/>
        </w:rPr>
        <w:tab/>
      </w:r>
      <w:r w:rsidRPr="003E7FFC">
        <w:rPr>
          <w:sz w:val="20"/>
        </w:rPr>
        <w:tab/>
      </w:r>
    </w:p>
    <w:p w:rsidR="007130CD" w:rsidRPr="003E7FFC" w:rsidRDefault="007130CD">
      <w:pPr>
        <w:pStyle w:val="Signature-dbl"/>
        <w:rPr>
          <w:sz w:val="20"/>
        </w:rPr>
      </w:pPr>
      <w:r w:rsidRPr="003E7FFC">
        <w:rPr>
          <w:sz w:val="20"/>
        </w:rPr>
        <w:t>Party A Name</w:t>
      </w:r>
      <w:r w:rsidR="007117EB" w:rsidRPr="003E7FFC">
        <w:rPr>
          <w:sz w:val="20"/>
        </w:rPr>
        <w:t>:</w:t>
      </w:r>
      <w:r w:rsidRPr="003E7FFC">
        <w:rPr>
          <w:sz w:val="20"/>
        </w:rPr>
        <w:tab/>
      </w:r>
      <w:r w:rsidRPr="003E7FFC">
        <w:rPr>
          <w:sz w:val="20"/>
        </w:rPr>
        <w:tab/>
        <w:t>Party B Name</w:t>
      </w:r>
      <w:r w:rsidR="007117EB" w:rsidRPr="003E7FFC">
        <w:rPr>
          <w:sz w:val="20"/>
        </w:rPr>
        <w:t>:  Commonwealth Edison Company</w:t>
      </w:r>
    </w:p>
    <w:p w:rsidR="007130CD" w:rsidRPr="003E7FFC" w:rsidRDefault="007130CD">
      <w:pPr>
        <w:pStyle w:val="Signature-dbl"/>
        <w:rPr>
          <w:sz w:val="20"/>
        </w:rPr>
      </w:pPr>
      <w:r w:rsidRPr="003E7FFC">
        <w:rPr>
          <w:sz w:val="20"/>
        </w:rPr>
        <w:t xml:space="preserve">By: </w:t>
      </w:r>
      <w:r w:rsidR="00426331">
        <w:rPr>
          <w:sz w:val="20"/>
        </w:rPr>
        <w:t xml:space="preserve"> </w:t>
      </w:r>
      <w:r w:rsidRPr="003E7FFC">
        <w:rPr>
          <w:sz w:val="20"/>
          <w:u w:val="single"/>
        </w:rPr>
        <w:tab/>
      </w:r>
      <w:r w:rsidRPr="003E7FFC">
        <w:rPr>
          <w:sz w:val="20"/>
        </w:rPr>
        <w:tab/>
        <w:t xml:space="preserve">By: </w:t>
      </w:r>
      <w:r w:rsidR="00426331">
        <w:rPr>
          <w:sz w:val="20"/>
        </w:rPr>
        <w:t xml:space="preserve"> </w:t>
      </w:r>
      <w:r w:rsidRPr="003E7FFC">
        <w:rPr>
          <w:sz w:val="20"/>
          <w:u w:val="single"/>
        </w:rPr>
        <w:tab/>
      </w:r>
    </w:p>
    <w:p w:rsidR="007130CD" w:rsidRPr="003E7FFC" w:rsidRDefault="007130CD">
      <w:pPr>
        <w:pStyle w:val="Signature-dbl"/>
        <w:rPr>
          <w:sz w:val="20"/>
        </w:rPr>
      </w:pPr>
      <w:r w:rsidRPr="003E7FFC">
        <w:rPr>
          <w:sz w:val="20"/>
        </w:rPr>
        <w:t xml:space="preserve">Name: </w:t>
      </w:r>
      <w:r w:rsidR="00426331">
        <w:rPr>
          <w:sz w:val="20"/>
        </w:rPr>
        <w:t xml:space="preserve"> </w:t>
      </w:r>
      <w:r w:rsidRPr="003E7FFC">
        <w:rPr>
          <w:sz w:val="20"/>
          <w:u w:val="single"/>
        </w:rPr>
        <w:tab/>
      </w:r>
      <w:r w:rsidRPr="003E7FFC">
        <w:rPr>
          <w:sz w:val="20"/>
        </w:rPr>
        <w:tab/>
        <w:t xml:space="preserve">Name: </w:t>
      </w:r>
      <w:r w:rsidR="00426331">
        <w:rPr>
          <w:sz w:val="20"/>
        </w:rPr>
        <w:t xml:space="preserve"> </w:t>
      </w:r>
      <w:r w:rsidRPr="003E7FFC">
        <w:rPr>
          <w:sz w:val="20"/>
          <w:u w:val="single"/>
        </w:rPr>
        <w:tab/>
      </w:r>
    </w:p>
    <w:p w:rsidR="007130CD" w:rsidRPr="003E7FFC" w:rsidRDefault="007130CD">
      <w:pPr>
        <w:pStyle w:val="Signature-dbl"/>
        <w:rPr>
          <w:sz w:val="20"/>
          <w:u w:val="single"/>
        </w:rPr>
      </w:pPr>
      <w:r w:rsidRPr="003E7FFC">
        <w:rPr>
          <w:sz w:val="20"/>
        </w:rPr>
        <w:t xml:space="preserve">Title: </w:t>
      </w:r>
      <w:r w:rsidR="00426331">
        <w:rPr>
          <w:sz w:val="20"/>
        </w:rPr>
        <w:t xml:space="preserve"> </w:t>
      </w:r>
      <w:r w:rsidRPr="003E7FFC">
        <w:rPr>
          <w:sz w:val="20"/>
          <w:u w:val="single"/>
        </w:rPr>
        <w:tab/>
      </w:r>
      <w:r w:rsidRPr="003E7FFC">
        <w:rPr>
          <w:sz w:val="20"/>
        </w:rPr>
        <w:tab/>
        <w:t xml:space="preserve">Title: </w:t>
      </w:r>
      <w:r w:rsidR="00426331">
        <w:rPr>
          <w:sz w:val="20"/>
        </w:rPr>
        <w:t xml:space="preserve"> </w:t>
      </w:r>
      <w:r w:rsidRPr="003E7FFC">
        <w:rPr>
          <w:sz w:val="20"/>
          <w:u w:val="single"/>
        </w:rPr>
        <w:tab/>
      </w:r>
    </w:p>
    <w:p w:rsidR="000B7CC5" w:rsidRPr="003E7FFC" w:rsidRDefault="000B7CC5" w:rsidP="000B7CC5">
      <w:pPr>
        <w:pStyle w:val="Signature-dbl"/>
        <w:rPr>
          <w:sz w:val="20"/>
          <w:u w:val="single"/>
        </w:rPr>
      </w:pPr>
      <w:r w:rsidRPr="003E7FFC">
        <w:rPr>
          <w:sz w:val="20"/>
        </w:rPr>
        <w:t xml:space="preserve">Date: </w:t>
      </w:r>
      <w:r w:rsidR="00426331">
        <w:rPr>
          <w:sz w:val="20"/>
        </w:rPr>
        <w:t xml:space="preserve"> </w:t>
      </w:r>
      <w:r w:rsidRPr="003E7FFC">
        <w:rPr>
          <w:sz w:val="20"/>
          <w:u w:val="single"/>
        </w:rPr>
        <w:tab/>
      </w:r>
      <w:r w:rsidRPr="003E7FFC">
        <w:rPr>
          <w:sz w:val="20"/>
        </w:rPr>
        <w:tab/>
        <w:t xml:space="preserve">Date: </w:t>
      </w:r>
      <w:r w:rsidR="00426331">
        <w:rPr>
          <w:sz w:val="20"/>
        </w:rPr>
        <w:t xml:space="preserve"> </w:t>
      </w:r>
      <w:r w:rsidRPr="003E7FFC">
        <w:rPr>
          <w:sz w:val="20"/>
          <w:u w:val="single"/>
        </w:rPr>
        <w:tab/>
      </w:r>
    </w:p>
    <w:p w:rsidR="00740431" w:rsidRPr="003E7FFC" w:rsidRDefault="00740431">
      <w:pPr>
        <w:pStyle w:val="Signature-dbl"/>
        <w:rPr>
          <w:sz w:val="20"/>
        </w:rPr>
      </w:pPr>
    </w:p>
    <w:p w:rsidR="007130CD" w:rsidRPr="003E7FFC" w:rsidRDefault="007130CD">
      <w:pPr>
        <w:rPr>
          <w:sz w:val="20"/>
        </w:rPr>
      </w:pPr>
    </w:p>
    <w:p w:rsidR="007130CD" w:rsidRPr="003E7FFC" w:rsidRDefault="007130CD"/>
    <w:p w:rsidR="007130CD" w:rsidRPr="003E7FFC" w:rsidRDefault="007130CD"/>
    <w:p w:rsidR="007130CD" w:rsidRPr="003E7FFC" w:rsidRDefault="007130CD">
      <w:pPr>
        <w:pStyle w:val="BlockTextBold"/>
      </w:pPr>
      <w:r w:rsidRPr="003E7FFC">
        <w:t>DISCLAIMER:  This Master Power Purchase and Sale Agreement was prepared by a committee of representatives of Edison Electric Institute (</w:t>
      </w:r>
      <w:r w:rsidR="00A34C9E">
        <w:t>“</w:t>
      </w:r>
      <w:r w:rsidRPr="003E7FFC">
        <w:t>EEI</w:t>
      </w:r>
      <w:r w:rsidR="00A34C9E">
        <w:t>”</w:t>
      </w:r>
      <w:r w:rsidRPr="003E7FFC">
        <w:t>) and National Energy Marketers Association (</w:t>
      </w:r>
      <w:r w:rsidR="00A34C9E">
        <w:t>“</w:t>
      </w:r>
      <w:r w:rsidRPr="003E7FFC">
        <w:t>NEM</w:t>
      </w:r>
      <w:r w:rsidR="00A34C9E">
        <w:t>”</w:t>
      </w:r>
      <w:r w:rsidRPr="003E7FFC">
        <w:t>) member companies to facilitate orderly trading in and development of wholesale power markets</w:t>
      </w:r>
      <w:r w:rsidR="002B35C9">
        <w:t xml:space="preserve">.  </w:t>
      </w:r>
      <w:r w:rsidRPr="003E7FFC">
        <w:t>Neither EEI nor NEM nor any member company nor any of their agents, representatives or attorneys shall be responsible for its use, or any damages resulting therefrom</w:t>
      </w:r>
      <w:r w:rsidR="002B35C9">
        <w:t xml:space="preserve">.  </w:t>
      </w:r>
      <w:r w:rsidRPr="003E7FFC">
        <w:t xml:space="preserve">By providing this Agreement EEI and NEM do not offer legal advice and all users are urged to consult their own legal counsel to ensure that their commercial objectives will be </w:t>
      </w:r>
      <w:proofErr w:type="gramStart"/>
      <w:r w:rsidRPr="003E7FFC">
        <w:t>achieved</w:t>
      </w:r>
      <w:proofErr w:type="gramEnd"/>
      <w:r w:rsidRPr="003E7FFC">
        <w:t xml:space="preserve"> and their legal interests are adequately protected.</w:t>
      </w:r>
    </w:p>
    <w:p w:rsidR="007130CD" w:rsidRPr="003E7FFC" w:rsidRDefault="007130CD"/>
    <w:p w:rsidR="007130CD" w:rsidRPr="003E7FFC" w:rsidRDefault="007130CD"/>
    <w:p w:rsidR="007130CD" w:rsidRPr="003E7FFC" w:rsidRDefault="007130CD">
      <w:r w:rsidRPr="003E7FFC">
        <w:br w:type="page"/>
      </w:r>
    </w:p>
    <w:p w:rsidR="007130CD" w:rsidRPr="003E7FFC" w:rsidRDefault="007130CD">
      <w:pPr>
        <w:pStyle w:val="Title"/>
        <w:rPr>
          <w:u w:val="single"/>
        </w:rPr>
      </w:pPr>
      <w:r w:rsidRPr="003E7FFC">
        <w:rPr>
          <w:u w:val="single"/>
        </w:rPr>
        <w:lastRenderedPageBreak/>
        <w:t>GENERAL TERMS AND CONDITIONS</w:t>
      </w:r>
      <w:r w:rsidR="0005163E" w:rsidRPr="004D0B8E">
        <w:rPr>
          <w:u w:val="single"/>
        </w:rPr>
        <w:fldChar w:fldCharType="begin"/>
      </w:r>
      <w:r w:rsidRPr="003E7FFC">
        <w:instrText xml:space="preserve"> TC </w:instrText>
      </w:r>
      <w:r w:rsidR="00A34C9E">
        <w:instrText>“</w:instrText>
      </w:r>
      <w:bookmarkStart w:id="10" w:name="_Toc64375668"/>
      <w:r w:rsidRPr="003E7FFC">
        <w:instrText>GENERAL TERMS AND CONDITIONS</w:instrText>
      </w:r>
      <w:bookmarkEnd w:id="10"/>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rPr>
          <w:u w:val="single"/>
        </w:rPr>
        <w:fldChar w:fldCharType="end"/>
      </w:r>
    </w:p>
    <w:p w:rsidR="007130CD" w:rsidRPr="003E7FFC" w:rsidRDefault="007130CD">
      <w:pPr>
        <w:pStyle w:val="Heading1"/>
      </w:pPr>
      <w:r w:rsidRPr="003E7FFC">
        <w:t>GENERAL DEFINITIONS</w:t>
      </w:r>
      <w:r w:rsidR="0005163E" w:rsidRPr="004D0B8E">
        <w:fldChar w:fldCharType="begin"/>
      </w:r>
      <w:r w:rsidRPr="003E7FFC">
        <w:instrText xml:space="preserve"> TC </w:instrText>
      </w:r>
      <w:r w:rsidR="00A34C9E">
        <w:instrText>“</w:instrText>
      </w:r>
      <w:bookmarkStart w:id="11" w:name="_Toc64375669"/>
      <w:r w:rsidRPr="003E7FFC">
        <w:instrText>ARTICLE ONE:</w:instrText>
      </w:r>
      <w:r w:rsidRPr="003E7FFC">
        <w:tab/>
        <w:instrText>GENERAL DEFINITIONS</w:instrText>
      </w:r>
      <w:bookmarkEnd w:id="11"/>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rsidR="007130CD" w:rsidRPr="003E7FFC" w:rsidRDefault="00A34C9E" w:rsidP="005B2BDB">
      <w:pPr>
        <w:pStyle w:val="Heading2"/>
        <w:tabs>
          <w:tab w:val="clear" w:pos="921"/>
          <w:tab w:val="num" w:pos="1440"/>
        </w:tabs>
      </w:pPr>
      <w:r>
        <w:t>“</w:t>
      </w:r>
      <w:r w:rsidR="007130CD" w:rsidRPr="003E7FFC">
        <w:t>Affiliate</w:t>
      </w:r>
      <w:r>
        <w:t>”</w:t>
      </w:r>
      <w:r w:rsidR="007130CD" w:rsidRPr="003E7FFC">
        <w:t xml:space="preserve"> means, with respect to any person, any other person (other than an individual) that, directly or indirectly, through one or more intermediaries, controls, or is controlled by, or is under common control with, such person</w:t>
      </w:r>
      <w:r w:rsidR="002B35C9">
        <w:t xml:space="preserve">.  </w:t>
      </w:r>
      <w:r w:rsidR="007130CD" w:rsidRPr="003E7FFC">
        <w:t xml:space="preserve">For this purpose, </w:t>
      </w:r>
      <w:r>
        <w:t>“</w:t>
      </w:r>
      <w:r w:rsidR="007130CD" w:rsidRPr="003E7FFC">
        <w:t>control</w:t>
      </w:r>
      <w:r>
        <w:t>”</w:t>
      </w:r>
      <w:r w:rsidR="007130CD" w:rsidRPr="003E7FFC">
        <w:t xml:space="preserve"> means the direct or indirect ownership of fifty percent (50%) or more of the outstanding capital stock or other equity interests having ordinary voting power.</w:t>
      </w:r>
    </w:p>
    <w:p w:rsidR="007130CD" w:rsidRPr="003E7FFC" w:rsidRDefault="00A34C9E" w:rsidP="005B2BDB">
      <w:pPr>
        <w:pStyle w:val="Heading2"/>
        <w:tabs>
          <w:tab w:val="clear" w:pos="921"/>
          <w:tab w:val="num" w:pos="1440"/>
        </w:tabs>
      </w:pPr>
      <w:r>
        <w:t>“</w:t>
      </w:r>
      <w:r w:rsidR="007130CD" w:rsidRPr="003E7FFC">
        <w:t>Agreement</w:t>
      </w:r>
      <w:r>
        <w:t>”</w:t>
      </w:r>
      <w:r w:rsidR="007130CD" w:rsidRPr="003E7FFC">
        <w:t xml:space="preserve"> has the meaning set forth in the Cover Sheet</w:t>
      </w:r>
      <w:r w:rsidR="002B35C9">
        <w:t xml:space="preserve">.  </w:t>
      </w:r>
    </w:p>
    <w:p w:rsidR="007130CD" w:rsidRPr="003E7FFC" w:rsidRDefault="00A34C9E" w:rsidP="005B2BDB">
      <w:pPr>
        <w:pStyle w:val="Heading2"/>
        <w:tabs>
          <w:tab w:val="clear" w:pos="921"/>
          <w:tab w:val="num" w:pos="1440"/>
        </w:tabs>
      </w:pPr>
      <w:r>
        <w:t>“</w:t>
      </w:r>
      <w:r w:rsidR="007130CD" w:rsidRPr="003E7FFC">
        <w:t>Bankrupt</w:t>
      </w:r>
      <w:r>
        <w:t>”</w:t>
      </w:r>
      <w:r w:rsidR="007130CD" w:rsidRPr="003E7FFC">
        <w:t xml:space="preserve">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rsidR="007130CD" w:rsidRPr="003E7FFC" w:rsidRDefault="00A34C9E" w:rsidP="005B2BDB">
      <w:pPr>
        <w:pStyle w:val="Heading2"/>
        <w:tabs>
          <w:tab w:val="clear" w:pos="921"/>
          <w:tab w:val="num" w:pos="1440"/>
        </w:tabs>
      </w:pPr>
      <w:r>
        <w:t>“</w:t>
      </w:r>
      <w:r w:rsidR="007130CD" w:rsidRPr="003E7FFC">
        <w:t>Business Day</w:t>
      </w:r>
      <w:r>
        <w:t>”</w:t>
      </w:r>
      <w:r w:rsidR="007130CD" w:rsidRPr="003E7FFC">
        <w:t xml:space="preserve"> means any day except a Saturday, Sunday, or a Federal Reserve Bank holiday</w:t>
      </w:r>
      <w:r w:rsidR="002B35C9">
        <w:t xml:space="preserve">.  </w:t>
      </w:r>
      <w:r w:rsidR="007130CD" w:rsidRPr="003E7FFC">
        <w:t>A Business Day shall open at 8:00 a.m</w:t>
      </w:r>
      <w:r w:rsidR="002B35C9">
        <w:t xml:space="preserve">.  </w:t>
      </w:r>
      <w:r w:rsidR="007130CD" w:rsidRPr="003E7FFC">
        <w:t>and close at 5:00 p.m</w:t>
      </w:r>
      <w:r w:rsidR="002B35C9">
        <w:t xml:space="preserve">.  </w:t>
      </w:r>
      <w:r w:rsidR="007130CD" w:rsidRPr="003E7FFC">
        <w:t>local time for the relevant Party</w:t>
      </w:r>
      <w:r>
        <w:t>’</w:t>
      </w:r>
      <w:r w:rsidR="007130CD" w:rsidRPr="003E7FFC">
        <w:t>s principal place of business</w:t>
      </w:r>
      <w:r w:rsidR="002B35C9">
        <w:t xml:space="preserve">.  </w:t>
      </w:r>
      <w:r w:rsidR="007130CD" w:rsidRPr="003E7FFC">
        <w:t>The relevant Party, in each instance unless otherwise specified, shall be the Party from whom the notice, payment or delivery is being sent and by whom the notice or payment or delivery is to be received.</w:t>
      </w:r>
    </w:p>
    <w:p w:rsidR="007130CD" w:rsidRPr="003E7FFC" w:rsidRDefault="00A34C9E" w:rsidP="005B2BDB">
      <w:pPr>
        <w:pStyle w:val="Heading2"/>
        <w:tabs>
          <w:tab w:val="clear" w:pos="921"/>
          <w:tab w:val="num" w:pos="1440"/>
        </w:tabs>
      </w:pPr>
      <w:r>
        <w:t>“</w:t>
      </w:r>
      <w:r w:rsidR="007130CD" w:rsidRPr="003E7FFC">
        <w:t>Buyer</w:t>
      </w:r>
      <w:r>
        <w:t>”</w:t>
      </w:r>
      <w:r w:rsidR="007130CD" w:rsidRPr="003E7FFC">
        <w:t xml:space="preserve"> means the Party to a Transaction that is obligated to purchase and receive, or cause to be received, the Product, as specified in the Transaction</w:t>
      </w:r>
      <w:r w:rsidR="002B35C9">
        <w:t xml:space="preserve">.  </w:t>
      </w:r>
    </w:p>
    <w:p w:rsidR="007130CD" w:rsidRPr="003E7FFC" w:rsidRDefault="00A34C9E" w:rsidP="005B2BDB">
      <w:pPr>
        <w:pStyle w:val="Heading2"/>
        <w:tabs>
          <w:tab w:val="clear" w:pos="921"/>
          <w:tab w:val="num" w:pos="1440"/>
        </w:tabs>
      </w:pPr>
      <w:r>
        <w:t>“</w:t>
      </w:r>
      <w:r w:rsidR="007130CD" w:rsidRPr="003E7FFC">
        <w:t>Call Option</w:t>
      </w:r>
      <w:r>
        <w:t>”</w:t>
      </w:r>
      <w:r w:rsidR="007130CD" w:rsidRPr="003E7FFC">
        <w:t xml:space="preserve"> means an Option entitling, but not obligating, the Option Buyer to purchase and receive the Product from the Option Seller at a price equal to the Strike Price for the Delivery Period for which the Option may be exercised, all as specified in the Transaction</w:t>
      </w:r>
      <w:r w:rsidR="002B35C9">
        <w:t xml:space="preserve">.  </w:t>
      </w:r>
      <w:r w:rsidR="007130CD" w:rsidRPr="003E7FFC">
        <w:t>Upon proper exercise of the Option by the Option Buyer, the Option Seller will be obligated to sell and deliver the Product for the Delivery Period for which the Option has been exercised.</w:t>
      </w:r>
    </w:p>
    <w:p w:rsidR="007130CD" w:rsidRPr="003E7FFC" w:rsidRDefault="00A34C9E" w:rsidP="005B2BDB">
      <w:pPr>
        <w:pStyle w:val="Heading2"/>
        <w:tabs>
          <w:tab w:val="clear" w:pos="921"/>
          <w:tab w:val="num" w:pos="1440"/>
        </w:tabs>
      </w:pPr>
      <w:r>
        <w:t>“</w:t>
      </w:r>
      <w:r w:rsidR="007130CD" w:rsidRPr="003E7FFC">
        <w:t>Claiming Party</w:t>
      </w:r>
      <w:r>
        <w:t>”</w:t>
      </w:r>
      <w:r w:rsidR="007130CD" w:rsidRPr="003E7FFC">
        <w:t xml:space="preserve"> has the meaning set forth in Section 3.3.</w:t>
      </w:r>
    </w:p>
    <w:p w:rsidR="007130CD" w:rsidRPr="003E7FFC" w:rsidRDefault="00A34C9E" w:rsidP="005B2BDB">
      <w:pPr>
        <w:pStyle w:val="Heading2"/>
        <w:tabs>
          <w:tab w:val="clear" w:pos="921"/>
          <w:tab w:val="num" w:pos="1440"/>
        </w:tabs>
      </w:pPr>
      <w:r>
        <w:t>“</w:t>
      </w:r>
      <w:r w:rsidR="007130CD" w:rsidRPr="003E7FFC">
        <w:t>Claims</w:t>
      </w:r>
      <w:r>
        <w:t>”</w:t>
      </w:r>
      <w:r w:rsidR="007130CD" w:rsidRPr="003E7FFC">
        <w:t xml:space="preserve"> means all third party claims or actions, threatened or filed and, whether groundless, false, fraudulent or otherwise, that directly or indirectly relate to the subject matter of an indemnity, and the resulting losses, damages, expenses, attorneys</w:t>
      </w:r>
      <w:r>
        <w:t>’</w:t>
      </w:r>
      <w:r w:rsidR="007130CD" w:rsidRPr="003E7FFC">
        <w:t xml:space="preserve"> fees and court costs, whether incurred by settlement or otherwise, and whether such claims or actions are threatened or filed prior to or after the termination of this Agreement.</w:t>
      </w:r>
    </w:p>
    <w:p w:rsidR="007130CD" w:rsidRPr="003E7FFC" w:rsidRDefault="00A34C9E" w:rsidP="005B2BDB">
      <w:pPr>
        <w:pStyle w:val="Heading2"/>
        <w:tabs>
          <w:tab w:val="clear" w:pos="921"/>
          <w:tab w:val="num" w:pos="1440"/>
        </w:tabs>
      </w:pPr>
      <w:r>
        <w:t>“</w:t>
      </w:r>
      <w:r w:rsidR="007130CD" w:rsidRPr="003E7FFC">
        <w:t>Confirmation</w:t>
      </w:r>
      <w:r>
        <w:t>”</w:t>
      </w:r>
      <w:r w:rsidR="007130CD" w:rsidRPr="003E7FFC">
        <w:t xml:space="preserve"> has the meaning set forth in Section 2.3.</w:t>
      </w:r>
    </w:p>
    <w:p w:rsidR="007130CD" w:rsidRPr="003E7FFC" w:rsidRDefault="00A34C9E">
      <w:pPr>
        <w:pStyle w:val="Heading2"/>
      </w:pPr>
      <w:r>
        <w:t>“</w:t>
      </w:r>
      <w:r w:rsidR="007130CD" w:rsidRPr="003E7FFC">
        <w:t>Contract Price</w:t>
      </w:r>
      <w:r>
        <w:t>”</w:t>
      </w:r>
      <w:r w:rsidR="007130CD" w:rsidRPr="003E7FFC">
        <w:t xml:space="preserve"> means the price in $U.S</w:t>
      </w:r>
      <w:r w:rsidR="002B35C9">
        <w:t xml:space="preserve">.  </w:t>
      </w:r>
      <w:r w:rsidR="007130CD" w:rsidRPr="003E7FFC">
        <w:t>(unless otherwise provided for) to be paid by Buyer to Seller for the purchase of the Product, as specified in the Transaction</w:t>
      </w:r>
      <w:r w:rsidR="002B35C9">
        <w:t xml:space="preserve">.  </w:t>
      </w:r>
      <w:r w:rsidR="007130CD" w:rsidRPr="003E7FFC">
        <w:t xml:space="preserve"> </w:t>
      </w:r>
    </w:p>
    <w:p w:rsidR="007130CD" w:rsidRPr="003E7FFC" w:rsidRDefault="00A34C9E">
      <w:pPr>
        <w:pStyle w:val="Heading2"/>
      </w:pPr>
      <w:r>
        <w:lastRenderedPageBreak/>
        <w:t>“</w:t>
      </w:r>
      <w:r w:rsidR="007130CD" w:rsidRPr="003E7FFC">
        <w:t>Costs</w:t>
      </w:r>
      <w:r>
        <w:t>”</w:t>
      </w:r>
      <w:r w:rsidR="007130CD" w:rsidRPr="003E7FFC">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t>’</w:t>
      </w:r>
      <w:r w:rsidR="007130CD" w:rsidRPr="003E7FFC">
        <w:t xml:space="preserve"> fees and expenses incurred by the Non-Defaulting Party in connection with the termination of a Transaction.</w:t>
      </w:r>
    </w:p>
    <w:p w:rsidR="007130CD" w:rsidRPr="003E7FFC" w:rsidRDefault="00A34C9E">
      <w:pPr>
        <w:pStyle w:val="Heading2"/>
      </w:pPr>
      <w:r>
        <w:t>“</w:t>
      </w:r>
      <w:r w:rsidR="007130CD" w:rsidRPr="003E7FFC">
        <w:t>Credit Rating</w:t>
      </w:r>
      <w:r>
        <w:t>”</w:t>
      </w:r>
      <w:r w:rsidR="007130CD" w:rsidRPr="003E7FFC">
        <w:t xml:space="preserve"> means, with respect to any entity, the rating then assigned to such entity</w:t>
      </w:r>
      <w:r>
        <w:t>’</w:t>
      </w:r>
      <w:r w:rsidR="007130CD" w:rsidRPr="003E7FFC">
        <w:t>s unsecured, senior long-term debt obligations (not supported by third party credit enhancements) or if such entity does not have a rating for its senior unsecured long-term debt, then the rating then assigned to such entity as an issues rating by S&amp;P, Moody</w:t>
      </w:r>
      <w:r>
        <w:t>’</w:t>
      </w:r>
      <w:r w:rsidR="007130CD" w:rsidRPr="003E7FFC">
        <w:t>s or any other rating agency agreed by the Parties as set forth in the Cover Sheet.</w:t>
      </w:r>
    </w:p>
    <w:p w:rsidR="007130CD" w:rsidRPr="003E7FFC" w:rsidRDefault="00A34C9E">
      <w:pPr>
        <w:pStyle w:val="Heading2"/>
      </w:pPr>
      <w:r>
        <w:t>“</w:t>
      </w:r>
      <w:r w:rsidR="007130CD" w:rsidRPr="003E7FFC">
        <w:t>Cross Default Amount</w:t>
      </w:r>
      <w:r>
        <w:t>”</w:t>
      </w:r>
      <w:r w:rsidR="007130CD" w:rsidRPr="003E7FFC">
        <w:t xml:space="preserve"> means the </w:t>
      </w:r>
      <w:proofErr w:type="gramStart"/>
      <w:r w:rsidR="007130CD" w:rsidRPr="003E7FFC">
        <w:t>cross default</w:t>
      </w:r>
      <w:proofErr w:type="gramEnd"/>
      <w:r w:rsidR="007130CD" w:rsidRPr="003E7FFC">
        <w:t xml:space="preserve"> amount, if any, set forth in the Cover Sheet for a Party.</w:t>
      </w:r>
    </w:p>
    <w:p w:rsidR="007130CD" w:rsidRPr="003E7FFC" w:rsidRDefault="00A34C9E">
      <w:pPr>
        <w:pStyle w:val="Heading2"/>
      </w:pPr>
      <w:r>
        <w:t>“</w:t>
      </w:r>
      <w:r w:rsidR="007130CD" w:rsidRPr="003E7FFC">
        <w:t>Defaulting Party</w:t>
      </w:r>
      <w:r>
        <w:t>”</w:t>
      </w:r>
      <w:r w:rsidR="007130CD" w:rsidRPr="003E7FFC">
        <w:t xml:space="preserve"> has the meaning set forth in Section 5.1.</w:t>
      </w:r>
    </w:p>
    <w:p w:rsidR="007130CD" w:rsidRPr="003E7FFC" w:rsidRDefault="00A34C9E">
      <w:pPr>
        <w:pStyle w:val="Heading2"/>
      </w:pPr>
      <w:r>
        <w:t>“</w:t>
      </w:r>
      <w:r w:rsidR="007130CD" w:rsidRPr="003E7FFC">
        <w:t>Delivery Period</w:t>
      </w:r>
      <w:r>
        <w:t>”</w:t>
      </w:r>
      <w:r w:rsidR="007130CD" w:rsidRPr="003E7FFC">
        <w:t xml:space="preserve"> means the period of delivery for a Transaction, as specified in the Transaction.</w:t>
      </w:r>
    </w:p>
    <w:p w:rsidR="007130CD" w:rsidRPr="003E7FFC" w:rsidRDefault="00A34C9E">
      <w:pPr>
        <w:pStyle w:val="Heading2"/>
      </w:pPr>
      <w:r>
        <w:t>“</w:t>
      </w:r>
      <w:r w:rsidR="007130CD" w:rsidRPr="003E7FFC">
        <w:t>Delivery Point</w:t>
      </w:r>
      <w:r>
        <w:t>”</w:t>
      </w:r>
      <w:r w:rsidR="007130CD" w:rsidRPr="003E7FFC">
        <w:t xml:space="preserve"> means the point at which the Product will be delivered and received, as specified in the Transaction.</w:t>
      </w:r>
    </w:p>
    <w:p w:rsidR="007130CD" w:rsidRPr="003E7FFC" w:rsidRDefault="00A34C9E">
      <w:pPr>
        <w:pStyle w:val="Heading2"/>
      </w:pPr>
      <w:r>
        <w:t>“</w:t>
      </w:r>
      <w:r w:rsidR="007130CD" w:rsidRPr="003E7FFC">
        <w:t>Downgrade Event</w:t>
      </w:r>
      <w:r>
        <w:t>”</w:t>
      </w:r>
      <w:r w:rsidR="007130CD" w:rsidRPr="003E7FFC">
        <w:t xml:space="preserve"> has the meaning set forth on the Cover Sheet.</w:t>
      </w:r>
    </w:p>
    <w:p w:rsidR="007130CD" w:rsidRPr="003E7FFC" w:rsidRDefault="00A34C9E">
      <w:pPr>
        <w:pStyle w:val="Heading2"/>
      </w:pPr>
      <w:r>
        <w:t>“</w:t>
      </w:r>
      <w:r w:rsidR="007130CD" w:rsidRPr="003E7FFC">
        <w:t>Early Termination Date</w:t>
      </w:r>
      <w:r>
        <w:t>”</w:t>
      </w:r>
      <w:r w:rsidR="007130CD" w:rsidRPr="003E7FFC">
        <w:t xml:space="preserve"> has the meaning set forth in Section 5.2.</w:t>
      </w:r>
    </w:p>
    <w:p w:rsidR="007130CD" w:rsidRPr="003E7FFC" w:rsidRDefault="00A34C9E">
      <w:pPr>
        <w:pStyle w:val="Heading2"/>
      </w:pPr>
      <w:r>
        <w:t>“</w:t>
      </w:r>
      <w:r w:rsidR="007130CD" w:rsidRPr="003E7FFC">
        <w:t>Effective Date</w:t>
      </w:r>
      <w:r>
        <w:t>”</w:t>
      </w:r>
      <w:r w:rsidR="007130CD" w:rsidRPr="003E7FFC">
        <w:t xml:space="preserve"> has the meaning set forth on the Cover Sheet.</w:t>
      </w:r>
    </w:p>
    <w:p w:rsidR="007130CD" w:rsidRPr="003E7FFC" w:rsidRDefault="00A34C9E">
      <w:pPr>
        <w:pStyle w:val="Heading2"/>
      </w:pPr>
      <w:r>
        <w:t>“</w:t>
      </w:r>
      <w:r w:rsidR="007130CD" w:rsidRPr="003E7FFC">
        <w:t>Equitable Defenses</w:t>
      </w:r>
      <w:r>
        <w:t>”</w:t>
      </w:r>
      <w:r w:rsidR="007130CD" w:rsidRPr="003E7FFC">
        <w:t xml:space="preserve"> means any bankruptcy, insolvency, reorganization and other laws affecting creditors</w:t>
      </w:r>
      <w:r>
        <w:t>’</w:t>
      </w:r>
      <w:r w:rsidR="007130CD" w:rsidRPr="003E7FFC">
        <w:t xml:space="preserve"> rights generally, and </w:t>
      </w:r>
      <w:proofErr w:type="gramStart"/>
      <w:r w:rsidR="007130CD" w:rsidRPr="003E7FFC">
        <w:t>with regard to</w:t>
      </w:r>
      <w:proofErr w:type="gramEnd"/>
      <w:r w:rsidR="007130CD" w:rsidRPr="003E7FFC">
        <w:t xml:space="preserve"> equitable remedies, the discretion of the court before which proceedings to obtain same may be pending.</w:t>
      </w:r>
    </w:p>
    <w:p w:rsidR="007130CD" w:rsidRPr="003E7FFC" w:rsidRDefault="00A34C9E">
      <w:pPr>
        <w:pStyle w:val="Heading2"/>
      </w:pPr>
      <w:r>
        <w:t>“</w:t>
      </w:r>
      <w:r w:rsidR="007130CD" w:rsidRPr="003E7FFC">
        <w:t>Event of Default</w:t>
      </w:r>
      <w:r>
        <w:t>”</w:t>
      </w:r>
      <w:r w:rsidR="007130CD" w:rsidRPr="003E7FFC">
        <w:t xml:space="preserve"> has the meaning set forth in Section 5.1.</w:t>
      </w:r>
    </w:p>
    <w:p w:rsidR="007130CD" w:rsidRPr="003E7FFC" w:rsidRDefault="00A34C9E">
      <w:pPr>
        <w:pStyle w:val="Heading2"/>
      </w:pPr>
      <w:r>
        <w:t>“</w:t>
      </w:r>
      <w:r w:rsidR="007130CD" w:rsidRPr="003E7FFC">
        <w:t>FERC</w:t>
      </w:r>
      <w:r>
        <w:t>”</w:t>
      </w:r>
      <w:r w:rsidR="007130CD" w:rsidRPr="003E7FFC">
        <w:t xml:space="preserve"> means the Federal Energy Regulatory Commission or any successor government agency.</w:t>
      </w:r>
    </w:p>
    <w:p w:rsidR="007130CD" w:rsidRPr="003E7FFC" w:rsidRDefault="00A34C9E">
      <w:pPr>
        <w:pStyle w:val="Heading2"/>
      </w:pPr>
      <w:r>
        <w:t>“</w:t>
      </w:r>
      <w:r w:rsidR="007130CD" w:rsidRPr="003E7FFC">
        <w:t>Force Majeure</w:t>
      </w:r>
      <w:r>
        <w:t>”</w:t>
      </w:r>
      <w:r w:rsidR="007130CD" w:rsidRPr="003E7FFC">
        <w:t xml:space="preserv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w:t>
      </w:r>
      <w:r w:rsidR="002B35C9">
        <w:t xml:space="preserve">.  </w:t>
      </w:r>
      <w:r w:rsidR="007130CD" w:rsidRPr="003E7FFC">
        <w:t>Force Majeure shall not be based on (i) the loss of Buyer</w:t>
      </w:r>
      <w:r>
        <w:t>’</w:t>
      </w:r>
      <w:r w:rsidR="007130CD" w:rsidRPr="003E7FFC">
        <w:t>s markets; (ii) Buyer</w:t>
      </w:r>
      <w:r>
        <w:t>’</w:t>
      </w:r>
      <w:r w:rsidR="007130CD" w:rsidRPr="003E7FFC">
        <w:t>s inability economically to use or resell the Product purchased hereunder; (iii) the loss or failure of Seller</w:t>
      </w:r>
      <w:r>
        <w:t>’</w:t>
      </w:r>
      <w:r w:rsidR="007130CD" w:rsidRPr="003E7FFC">
        <w:t>s supply; or (iv) Seller</w:t>
      </w:r>
      <w:r>
        <w:t>’</w:t>
      </w:r>
      <w:r w:rsidR="007130CD" w:rsidRPr="003E7FFC">
        <w:t>s ability to sell the Product at a price greater than the Contract Price</w:t>
      </w:r>
      <w:r w:rsidR="002B35C9">
        <w:t xml:space="preserve">.  </w:t>
      </w:r>
      <w:r w:rsidR="007130CD" w:rsidRPr="003E7FFC">
        <w:t xml:space="preserve">Neither Party may raise a claim of Force Majeure based in whole or in part on curtailment by a Transmission Provider unless (i) such Party has contracted for firm transmission with a Transmission Provider </w:t>
      </w:r>
      <w:r w:rsidR="007130CD" w:rsidRPr="003E7FFC">
        <w:lastRenderedPageBreak/>
        <w:t xml:space="preserve">for the Product to be delivered to or received at the Delivery Point and (ii) such curtailment is due to </w:t>
      </w:r>
      <w:r>
        <w:t>“</w:t>
      </w:r>
      <w:r w:rsidR="007130CD" w:rsidRPr="003E7FFC">
        <w:t>force majeure</w:t>
      </w:r>
      <w:r>
        <w:t>”</w:t>
      </w:r>
      <w:r w:rsidR="007130CD" w:rsidRPr="003E7FFC">
        <w:t xml:space="preserve"> or </w:t>
      </w:r>
      <w:r>
        <w:t>“</w:t>
      </w:r>
      <w:r w:rsidR="007130CD" w:rsidRPr="003E7FFC">
        <w:t>uncontrollable force</w:t>
      </w:r>
      <w:r>
        <w:t>”</w:t>
      </w:r>
      <w:r w:rsidR="007130CD" w:rsidRPr="003E7FFC">
        <w:t xml:space="preserve"> or a similar term as defined under the Transmission Provider</w:t>
      </w:r>
      <w:r>
        <w:t>’</w:t>
      </w:r>
      <w:r w:rsidR="007130CD" w:rsidRPr="003E7FFC">
        <w:t>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w:t>
      </w:r>
      <w:r w:rsidR="002B35C9">
        <w:t xml:space="preserve">.  </w:t>
      </w:r>
      <w:r w:rsidR="007130CD" w:rsidRPr="003E7FFC">
        <w:t>The applicability of Force Majeure to the Transaction is governed by the terms of the Products and Related Definitions contained in Schedule P.</w:t>
      </w:r>
    </w:p>
    <w:p w:rsidR="007130CD" w:rsidRPr="003E7FFC" w:rsidRDefault="00A34C9E">
      <w:pPr>
        <w:pStyle w:val="Heading2"/>
      </w:pPr>
      <w:r>
        <w:t>“</w:t>
      </w:r>
      <w:r w:rsidR="007130CD" w:rsidRPr="003E7FFC">
        <w:t>Gains</w:t>
      </w:r>
      <w:r>
        <w:t>”</w:t>
      </w:r>
      <w:r w:rsidR="007130CD" w:rsidRPr="003E7FFC">
        <w:t xml:space="preserve"> means, with respect to any Party, an amount equal to the present value of the economic benefit to it, if any (exclusive of Costs), resulting from the termination of a Terminated Transaction, determined in a commercially reasonable manner</w:t>
      </w:r>
      <w:r w:rsidR="002B35C9">
        <w:t xml:space="preserve">.  </w:t>
      </w:r>
    </w:p>
    <w:p w:rsidR="007130CD" w:rsidRPr="003E7FFC" w:rsidRDefault="00A34C9E">
      <w:pPr>
        <w:pStyle w:val="Heading2"/>
      </w:pPr>
      <w:r>
        <w:t>“</w:t>
      </w:r>
      <w:r w:rsidR="007130CD" w:rsidRPr="003E7FFC">
        <w:t>Guarantor</w:t>
      </w:r>
      <w:r>
        <w:t>”</w:t>
      </w:r>
      <w:r w:rsidR="007130CD" w:rsidRPr="003E7FFC">
        <w:t xml:space="preserve"> means, with respect to a Party, the guarantor, if any, specified for such Party on the Cover Sheet</w:t>
      </w:r>
      <w:r w:rsidR="002B35C9">
        <w:t xml:space="preserve">.  </w:t>
      </w:r>
    </w:p>
    <w:p w:rsidR="007130CD" w:rsidRPr="003E7FFC" w:rsidRDefault="00A34C9E">
      <w:pPr>
        <w:pStyle w:val="Heading2"/>
      </w:pPr>
      <w:r>
        <w:t>“</w:t>
      </w:r>
      <w:r w:rsidR="007130CD" w:rsidRPr="003E7FFC">
        <w:t>Interest Rate</w:t>
      </w:r>
      <w:r>
        <w:t>”</w:t>
      </w:r>
      <w:r w:rsidR="007130CD" w:rsidRPr="003E7FFC">
        <w:t xml:space="preserve"> means, for any date, the lesser of (a) the per annum rate of interest equal to the prime lending rate as may from time to time be published in </w:t>
      </w:r>
      <w:r w:rsidR="007130CD" w:rsidRPr="003E7FFC">
        <w:rPr>
          <w:i/>
        </w:rPr>
        <w:t>The Wall Street Journal</w:t>
      </w:r>
      <w:r w:rsidR="007130CD" w:rsidRPr="003E7FFC">
        <w:t xml:space="preserve"> under </w:t>
      </w:r>
      <w:r>
        <w:t>“</w:t>
      </w:r>
      <w:r w:rsidR="007130CD" w:rsidRPr="003E7FFC">
        <w:t>Money Rates</w:t>
      </w:r>
      <w:r>
        <w:t>”</w:t>
      </w:r>
      <w:r w:rsidR="007130CD" w:rsidRPr="003E7FFC">
        <w:t xml:space="preserve"> on such day (or if not published on such day on the most recent preceding day on which published), plus two percent (2%) and (b) the maximum rate permitted by applicable law</w:t>
      </w:r>
      <w:r w:rsidR="002B35C9">
        <w:t xml:space="preserve">.  </w:t>
      </w:r>
    </w:p>
    <w:p w:rsidR="007130CD" w:rsidRPr="003E7FFC" w:rsidRDefault="00A34C9E">
      <w:pPr>
        <w:pStyle w:val="Heading2"/>
      </w:pPr>
      <w:r>
        <w:t>“</w:t>
      </w:r>
      <w:r w:rsidR="007130CD" w:rsidRPr="003E7FFC">
        <w:t>Letter(s) of Credit</w:t>
      </w:r>
      <w:r>
        <w:t>”</w:t>
      </w:r>
      <w:r w:rsidR="007130CD" w:rsidRPr="003E7FFC">
        <w:t xml:space="preserve"> means one or more irrevocable, transferable standby letters of credit issued by a U.S</w:t>
      </w:r>
      <w:r w:rsidR="002B35C9">
        <w:t xml:space="preserve">.  </w:t>
      </w:r>
      <w:r w:rsidR="007130CD" w:rsidRPr="003E7FFC">
        <w:t>commercial bank or a foreign bank with a U.S</w:t>
      </w:r>
      <w:r w:rsidR="002B35C9">
        <w:t xml:space="preserve">.  </w:t>
      </w:r>
      <w:r w:rsidR="007130CD" w:rsidRPr="003E7FFC">
        <w:t>branch with such bank having a credit rating of at least A- from S&amp;P or A3 from Moody</w:t>
      </w:r>
      <w:r>
        <w:t>’</w:t>
      </w:r>
      <w:r w:rsidR="007130CD" w:rsidRPr="003E7FFC">
        <w:t>s, in a form acceptable to the Party in whose favor the letter of credit is issued</w:t>
      </w:r>
      <w:r w:rsidR="002B35C9">
        <w:t xml:space="preserve">.  </w:t>
      </w:r>
      <w:r w:rsidR="007130CD" w:rsidRPr="003E7FFC">
        <w:t>Costs of a Letter of Credit shall be borne by the applicant for such Letter of Credit.</w:t>
      </w:r>
    </w:p>
    <w:p w:rsidR="007130CD" w:rsidRPr="003E7FFC" w:rsidRDefault="00A34C9E">
      <w:pPr>
        <w:pStyle w:val="Heading2"/>
      </w:pPr>
      <w:r>
        <w:t>“</w:t>
      </w:r>
      <w:r w:rsidR="007130CD" w:rsidRPr="003E7FFC">
        <w:t>Losses</w:t>
      </w:r>
      <w:r>
        <w:t>”</w:t>
      </w:r>
      <w:r w:rsidR="007130CD" w:rsidRPr="003E7FFC">
        <w:t xml:space="preserve"> means, with respect to any Party, an amount equal to the present value of the economic loss to it, if any (exclusive of Costs), resulting from termination of a Terminated Transaction, determined in a commercially reasonable manner</w:t>
      </w:r>
      <w:r w:rsidR="002B35C9">
        <w:t xml:space="preserve">.  </w:t>
      </w:r>
    </w:p>
    <w:p w:rsidR="007130CD" w:rsidRPr="003E7FFC" w:rsidRDefault="00A34C9E">
      <w:pPr>
        <w:pStyle w:val="Heading2"/>
      </w:pPr>
      <w:r>
        <w:t>“</w:t>
      </w:r>
      <w:r w:rsidR="007130CD" w:rsidRPr="003E7FFC">
        <w:t>Master Agreement</w:t>
      </w:r>
      <w:r>
        <w:t>”</w:t>
      </w:r>
      <w:r w:rsidR="007130CD" w:rsidRPr="003E7FFC">
        <w:t xml:space="preserve"> has the meaning set forth on the Cover Sheet.</w:t>
      </w:r>
    </w:p>
    <w:p w:rsidR="007130CD" w:rsidRPr="003E7FFC" w:rsidRDefault="00A34C9E">
      <w:pPr>
        <w:pStyle w:val="Heading2"/>
      </w:pPr>
      <w:r>
        <w:t>“</w:t>
      </w:r>
      <w:r w:rsidR="007130CD" w:rsidRPr="003E7FFC">
        <w:t>Moody</w:t>
      </w:r>
      <w:r>
        <w:t>’</w:t>
      </w:r>
      <w:r w:rsidR="007130CD" w:rsidRPr="003E7FFC">
        <w:t>s</w:t>
      </w:r>
      <w:r>
        <w:t>”</w:t>
      </w:r>
      <w:r w:rsidR="007130CD" w:rsidRPr="003E7FFC">
        <w:t xml:space="preserve"> means Moody</w:t>
      </w:r>
      <w:r>
        <w:t>’</w:t>
      </w:r>
      <w:r w:rsidR="007130CD" w:rsidRPr="003E7FFC">
        <w:t>s Investor Services, Inc</w:t>
      </w:r>
      <w:r w:rsidR="002B35C9">
        <w:t xml:space="preserve">.  </w:t>
      </w:r>
      <w:r w:rsidR="007130CD" w:rsidRPr="003E7FFC">
        <w:t>or its successor</w:t>
      </w:r>
      <w:r w:rsidR="002B35C9">
        <w:t xml:space="preserve">.  </w:t>
      </w:r>
    </w:p>
    <w:p w:rsidR="007130CD" w:rsidRPr="003E7FFC" w:rsidRDefault="00A34C9E">
      <w:pPr>
        <w:pStyle w:val="Heading2"/>
      </w:pPr>
      <w:r>
        <w:t>“</w:t>
      </w:r>
      <w:r w:rsidR="007130CD" w:rsidRPr="003E7FFC">
        <w:t>NERC Business Day</w:t>
      </w:r>
      <w:r>
        <w:t>”</w:t>
      </w:r>
      <w:r w:rsidR="007130CD" w:rsidRPr="003E7FFC">
        <w:t xml:space="preserve"> means any day except a Saturday, Sunday or a holiday as defined by the North American Electric Reliability Council or any successor organization thereto</w:t>
      </w:r>
      <w:r w:rsidR="002B35C9">
        <w:t xml:space="preserve">.  </w:t>
      </w:r>
      <w:r w:rsidR="007130CD" w:rsidRPr="003E7FFC">
        <w:t>A NERC Business Day shall open at 8:00 a.m</w:t>
      </w:r>
      <w:r w:rsidR="002B35C9">
        <w:t xml:space="preserve">.  </w:t>
      </w:r>
      <w:r w:rsidR="007130CD" w:rsidRPr="003E7FFC">
        <w:t>and close at 5:00 p.m</w:t>
      </w:r>
      <w:r w:rsidR="002B35C9">
        <w:t xml:space="preserve">.  </w:t>
      </w:r>
      <w:r w:rsidR="007130CD" w:rsidRPr="003E7FFC">
        <w:t>local time for the relevant Party</w:t>
      </w:r>
      <w:r>
        <w:t>’</w:t>
      </w:r>
      <w:r w:rsidR="007130CD" w:rsidRPr="003E7FFC">
        <w:t>s principal place of business</w:t>
      </w:r>
      <w:r w:rsidR="002B35C9">
        <w:t xml:space="preserve">.  </w:t>
      </w:r>
      <w:r w:rsidR="007130CD" w:rsidRPr="003E7FFC">
        <w:t>The relevant Party, in each instance unless otherwise specified, shall be the Party from whom the notice, payment or delivery is being sent and by whom the notice or payment or delivery is to be received.</w:t>
      </w:r>
    </w:p>
    <w:p w:rsidR="007130CD" w:rsidRDefault="00A34C9E">
      <w:pPr>
        <w:pStyle w:val="Heading2"/>
      </w:pPr>
      <w:r>
        <w:t>“</w:t>
      </w:r>
      <w:r w:rsidR="007130CD" w:rsidRPr="003E7FFC">
        <w:t>Non-Defaulting Party</w:t>
      </w:r>
      <w:r>
        <w:t>”</w:t>
      </w:r>
      <w:r w:rsidR="007130CD" w:rsidRPr="003E7FFC">
        <w:t xml:space="preserve"> has the meaning set forth in Section 5.2.</w:t>
      </w:r>
    </w:p>
    <w:p w:rsidR="007130CD" w:rsidRPr="003E7FFC" w:rsidRDefault="00A34C9E">
      <w:pPr>
        <w:pStyle w:val="Heading2"/>
      </w:pPr>
      <w:r>
        <w:t>“</w:t>
      </w:r>
      <w:r w:rsidR="007130CD" w:rsidRPr="003E7FFC">
        <w:t>Offsetting Transactions</w:t>
      </w:r>
      <w:r>
        <w:t>”</w:t>
      </w:r>
      <w:r w:rsidR="007130CD" w:rsidRPr="003E7FFC">
        <w:t xml:space="preserve"> mean any two or more outstanding Transactions, having the same or overlapping Delivery Period(s), Delivery Point and payment date, where under </w:t>
      </w:r>
      <w:r w:rsidR="007130CD" w:rsidRPr="003E7FFC">
        <w:lastRenderedPageBreak/>
        <w:t>one or more of such Transactions, one Party is the Seller, and under the other such Transaction(s), the same Party is the Buyer.</w:t>
      </w:r>
    </w:p>
    <w:p w:rsidR="007130CD" w:rsidRPr="003E7FFC" w:rsidRDefault="00A34C9E">
      <w:pPr>
        <w:pStyle w:val="Heading2"/>
      </w:pPr>
      <w:r>
        <w:t>“</w:t>
      </w:r>
      <w:r w:rsidR="007130CD" w:rsidRPr="003E7FFC">
        <w:t>Option</w:t>
      </w:r>
      <w:r>
        <w:t>”</w:t>
      </w:r>
      <w:r w:rsidR="007130CD" w:rsidRPr="003E7FFC">
        <w:t xml:space="preserve"> means the right but not the obligation to purchase or sell a Product as specified in a Transaction.</w:t>
      </w:r>
    </w:p>
    <w:p w:rsidR="007130CD" w:rsidRPr="003E7FFC" w:rsidRDefault="00A34C9E">
      <w:pPr>
        <w:pStyle w:val="Heading2"/>
      </w:pPr>
      <w:r>
        <w:t>“</w:t>
      </w:r>
      <w:r w:rsidR="007130CD" w:rsidRPr="003E7FFC">
        <w:t>Option Buyer</w:t>
      </w:r>
      <w:r>
        <w:t>”</w:t>
      </w:r>
      <w:r w:rsidR="007130CD" w:rsidRPr="003E7FFC">
        <w:t xml:space="preserve"> means the Party specified in a Transaction as the purchaser of an option, as defined in Schedule P.</w:t>
      </w:r>
    </w:p>
    <w:p w:rsidR="007130CD" w:rsidRPr="003E7FFC" w:rsidRDefault="00A34C9E">
      <w:pPr>
        <w:pStyle w:val="Heading2"/>
      </w:pPr>
      <w:r>
        <w:t>“</w:t>
      </w:r>
      <w:r w:rsidR="007130CD" w:rsidRPr="003E7FFC">
        <w:t>Option Seller</w:t>
      </w:r>
      <w:r>
        <w:t>”</w:t>
      </w:r>
      <w:r w:rsidR="007130CD" w:rsidRPr="003E7FFC">
        <w:t xml:space="preserve"> means the Party specified in a Transaction as the seller of an </w:t>
      </w:r>
      <w:proofErr w:type="gramStart"/>
      <w:r w:rsidR="007130CD" w:rsidRPr="003E7FFC">
        <w:t>option ,</w:t>
      </w:r>
      <w:proofErr w:type="gramEnd"/>
      <w:r w:rsidR="007130CD" w:rsidRPr="003E7FFC">
        <w:t xml:space="preserve"> as defined in Schedule P.</w:t>
      </w:r>
    </w:p>
    <w:p w:rsidR="007130CD" w:rsidRPr="003E7FFC" w:rsidRDefault="00A34C9E">
      <w:pPr>
        <w:pStyle w:val="Heading2"/>
      </w:pPr>
      <w:r>
        <w:t>“</w:t>
      </w:r>
      <w:r w:rsidR="007130CD" w:rsidRPr="003E7FFC">
        <w:t>Party A Collateral Threshold</w:t>
      </w:r>
      <w:r>
        <w:t>”</w:t>
      </w:r>
      <w:r w:rsidR="007130CD" w:rsidRPr="003E7FFC">
        <w:t xml:space="preserve"> means the collateral threshold, if any, set forth in the Cover Sheet for Party A.</w:t>
      </w:r>
    </w:p>
    <w:p w:rsidR="007130CD" w:rsidRPr="003E7FFC" w:rsidRDefault="00A34C9E">
      <w:pPr>
        <w:pStyle w:val="Heading2"/>
      </w:pPr>
      <w:r>
        <w:t>“</w:t>
      </w:r>
      <w:r w:rsidR="007130CD" w:rsidRPr="003E7FFC">
        <w:t>Party B Collateral Threshold</w:t>
      </w:r>
      <w:r>
        <w:t>”</w:t>
      </w:r>
      <w:r w:rsidR="007130CD" w:rsidRPr="003E7FFC">
        <w:t xml:space="preserve"> means the collateral threshold, if any, set forth in the Cover Sheet for Party B.</w:t>
      </w:r>
    </w:p>
    <w:p w:rsidR="007130CD" w:rsidRPr="003E7FFC" w:rsidRDefault="00A34C9E">
      <w:pPr>
        <w:pStyle w:val="Heading2"/>
      </w:pPr>
      <w:r>
        <w:t>“</w:t>
      </w:r>
      <w:r w:rsidR="007130CD" w:rsidRPr="003E7FFC">
        <w:t xml:space="preserve">Party </w:t>
      </w:r>
      <w:proofErr w:type="spellStart"/>
      <w:r w:rsidR="007130CD" w:rsidRPr="003E7FFC">
        <w:t>A</w:t>
      </w:r>
      <w:proofErr w:type="spellEnd"/>
      <w:r w:rsidR="007130CD" w:rsidRPr="003E7FFC">
        <w:t xml:space="preserve"> Independent Amount</w:t>
      </w:r>
      <w:r>
        <w:t>”</w:t>
      </w:r>
      <w:r w:rsidR="007130CD" w:rsidRPr="003E7FFC">
        <w:t xml:space="preserve"> means the </w:t>
      </w:r>
      <w:proofErr w:type="gramStart"/>
      <w:r w:rsidR="007130CD" w:rsidRPr="003E7FFC">
        <w:t>amount ,</w:t>
      </w:r>
      <w:proofErr w:type="gramEnd"/>
      <w:r w:rsidR="007130CD" w:rsidRPr="003E7FFC">
        <w:t xml:space="preserve"> if any, set forth in the Cover Sheet for Party A.</w:t>
      </w:r>
    </w:p>
    <w:p w:rsidR="007130CD" w:rsidRPr="003E7FFC" w:rsidRDefault="00A34C9E">
      <w:pPr>
        <w:pStyle w:val="Heading2"/>
      </w:pPr>
      <w:r>
        <w:t>“</w:t>
      </w:r>
      <w:r w:rsidR="007130CD" w:rsidRPr="003E7FFC">
        <w:t>Party B Independent Amount</w:t>
      </w:r>
      <w:r>
        <w:t>”</w:t>
      </w:r>
      <w:r w:rsidR="007130CD" w:rsidRPr="003E7FFC">
        <w:t xml:space="preserve"> means the </w:t>
      </w:r>
      <w:proofErr w:type="gramStart"/>
      <w:r w:rsidR="007130CD" w:rsidRPr="003E7FFC">
        <w:t>amount ,</w:t>
      </w:r>
      <w:proofErr w:type="gramEnd"/>
      <w:r w:rsidR="007130CD" w:rsidRPr="003E7FFC">
        <w:t xml:space="preserve"> if any, set forth in the Cover Sheet for Party B.</w:t>
      </w:r>
    </w:p>
    <w:p w:rsidR="007130CD" w:rsidRPr="003E7FFC" w:rsidRDefault="00A34C9E">
      <w:pPr>
        <w:pStyle w:val="Heading2"/>
      </w:pPr>
      <w:r>
        <w:t>“</w:t>
      </w:r>
      <w:r w:rsidR="007130CD" w:rsidRPr="003E7FFC">
        <w:t>Party A Rounding Amount</w:t>
      </w:r>
      <w:r>
        <w:t>”</w:t>
      </w:r>
      <w:r w:rsidR="007130CD" w:rsidRPr="003E7FFC">
        <w:t xml:space="preserve"> means the amount, if any, set forth in the Cover Sheet for Party A.</w:t>
      </w:r>
    </w:p>
    <w:p w:rsidR="007130CD" w:rsidRPr="003E7FFC" w:rsidRDefault="00A34C9E">
      <w:pPr>
        <w:pStyle w:val="Heading2"/>
      </w:pPr>
      <w:r>
        <w:t>“</w:t>
      </w:r>
      <w:r w:rsidR="007130CD" w:rsidRPr="003E7FFC">
        <w:t>Party B Rounding Amount</w:t>
      </w:r>
      <w:r>
        <w:t>”</w:t>
      </w:r>
      <w:r w:rsidR="007130CD" w:rsidRPr="003E7FFC">
        <w:t xml:space="preserve"> means the amount, if any, set forth in the Cover Sheet for Party B.</w:t>
      </w:r>
    </w:p>
    <w:p w:rsidR="007130CD" w:rsidRPr="003E7FFC" w:rsidRDefault="00A34C9E">
      <w:pPr>
        <w:pStyle w:val="Heading2"/>
      </w:pPr>
      <w:r>
        <w:t>“</w:t>
      </w:r>
      <w:r w:rsidR="007130CD" w:rsidRPr="003E7FFC">
        <w:t>Party A Tariff</w:t>
      </w:r>
      <w:r>
        <w:t>”</w:t>
      </w:r>
      <w:r w:rsidR="007130CD" w:rsidRPr="003E7FFC">
        <w:t xml:space="preserve"> means the tariff, if any, specified in the Cover Sheet for Party A.</w:t>
      </w:r>
    </w:p>
    <w:p w:rsidR="007130CD" w:rsidRPr="003E7FFC" w:rsidRDefault="00A34C9E">
      <w:pPr>
        <w:pStyle w:val="Heading2"/>
      </w:pPr>
      <w:r>
        <w:t>“</w:t>
      </w:r>
      <w:r w:rsidR="007130CD" w:rsidRPr="003E7FFC">
        <w:t>Party B Tariff</w:t>
      </w:r>
      <w:r>
        <w:t>”</w:t>
      </w:r>
      <w:r w:rsidR="007130CD" w:rsidRPr="003E7FFC">
        <w:t xml:space="preserve"> means the tariff, if any, specified in the Cover Sheet for Party B.</w:t>
      </w:r>
    </w:p>
    <w:p w:rsidR="007130CD" w:rsidRPr="003E7FFC" w:rsidRDefault="00A34C9E">
      <w:pPr>
        <w:pStyle w:val="Heading2"/>
      </w:pPr>
      <w:r>
        <w:t>“</w:t>
      </w:r>
      <w:r w:rsidR="007130CD" w:rsidRPr="003E7FFC">
        <w:t>Performance Assurance</w:t>
      </w:r>
      <w:r>
        <w:t>”</w:t>
      </w:r>
      <w:r w:rsidR="007130CD" w:rsidRPr="003E7FFC">
        <w:t xml:space="preserve"> means collateral in the form of either cash, Letter(s) of Credit, or other security acceptable to the Requesting Party</w:t>
      </w:r>
      <w:r w:rsidR="002B35C9">
        <w:t xml:space="preserve">.  </w:t>
      </w:r>
    </w:p>
    <w:p w:rsidR="007130CD" w:rsidRPr="003E7FFC" w:rsidRDefault="00A34C9E">
      <w:pPr>
        <w:pStyle w:val="Heading2"/>
      </w:pPr>
      <w:r>
        <w:t>“</w:t>
      </w:r>
      <w:r w:rsidR="007130CD" w:rsidRPr="003E7FFC">
        <w:t>Potential Event of Default</w:t>
      </w:r>
      <w:r>
        <w:t>”</w:t>
      </w:r>
      <w:r w:rsidR="007130CD" w:rsidRPr="003E7FFC">
        <w:t xml:space="preserve"> means an event which, with notice or passage of time or both, would constitute an Event of Default.</w:t>
      </w:r>
    </w:p>
    <w:p w:rsidR="007130CD" w:rsidRPr="003E7FFC" w:rsidRDefault="00A34C9E">
      <w:pPr>
        <w:pStyle w:val="Heading2"/>
      </w:pPr>
      <w:r>
        <w:t>“</w:t>
      </w:r>
      <w:r w:rsidR="007130CD" w:rsidRPr="003E7FFC">
        <w:t>Product</w:t>
      </w:r>
      <w:r>
        <w:t>”</w:t>
      </w:r>
      <w:r w:rsidR="007130CD" w:rsidRPr="003E7FFC">
        <w:t xml:space="preserve"> means electric capacity, energy or other product(s) related thereto as specified in a Transaction by reference to a Product listed in Schedule P hereto or as otherwise specified by the Parties in the Transaction.</w:t>
      </w:r>
    </w:p>
    <w:p w:rsidR="007130CD" w:rsidRPr="003E7FFC" w:rsidRDefault="00A34C9E">
      <w:pPr>
        <w:pStyle w:val="Heading2"/>
      </w:pPr>
      <w:r>
        <w:t>“</w:t>
      </w:r>
      <w:r w:rsidR="007130CD" w:rsidRPr="003E7FFC">
        <w:t>Put Option</w:t>
      </w:r>
      <w:r>
        <w:t>”</w:t>
      </w:r>
      <w:r w:rsidR="007130CD" w:rsidRPr="003E7FFC">
        <w:t xml:space="preserve"> means an Option entitling, but not obligating, the Option Buyer to sell and deliver the Product to the Option Seller at a price equal to the Strike Price for the Delivery Period for which the option may be exercised, all as specified in a Transaction</w:t>
      </w:r>
      <w:r w:rsidR="002B35C9">
        <w:t xml:space="preserve">.  </w:t>
      </w:r>
      <w:r w:rsidR="007130CD" w:rsidRPr="003E7FFC">
        <w:t>Upon proper exercise of the Option by the Option Buyer, the Option Seller will be obligated to purchase and receive the Product.</w:t>
      </w:r>
    </w:p>
    <w:p w:rsidR="007130CD" w:rsidRPr="003E7FFC" w:rsidRDefault="00A34C9E">
      <w:pPr>
        <w:pStyle w:val="Heading2"/>
      </w:pPr>
      <w:r>
        <w:lastRenderedPageBreak/>
        <w:t>“</w:t>
      </w:r>
      <w:r w:rsidR="007130CD" w:rsidRPr="003E7FFC">
        <w:t>Quantity</w:t>
      </w:r>
      <w:r>
        <w:t>”</w:t>
      </w:r>
      <w:r w:rsidR="007130CD" w:rsidRPr="003E7FFC">
        <w:t xml:space="preserve"> means that quantity of the Product that Seller agrees to make available or sell and deliver, or cause to be delivered, to Buyer, and that Buyer agrees to purchase and receive, or cause to be received, from Seller as specified in the Transaction.</w:t>
      </w:r>
    </w:p>
    <w:p w:rsidR="007130CD" w:rsidRPr="003E7FFC" w:rsidRDefault="00A34C9E">
      <w:pPr>
        <w:pStyle w:val="Heading2"/>
      </w:pPr>
      <w:r>
        <w:t>“</w:t>
      </w:r>
      <w:r w:rsidR="007130CD" w:rsidRPr="003E7FFC">
        <w:t>Recording</w:t>
      </w:r>
      <w:r>
        <w:t>”</w:t>
      </w:r>
      <w:r w:rsidR="007130CD" w:rsidRPr="003E7FFC">
        <w:t xml:space="preserve"> has the meaning set forth in Section 2.4</w:t>
      </w:r>
      <w:r w:rsidR="002B35C9">
        <w:t xml:space="preserve">.  </w:t>
      </w:r>
      <w:r w:rsidR="007130CD" w:rsidRPr="003E7FFC">
        <w:t xml:space="preserve"> </w:t>
      </w:r>
    </w:p>
    <w:p w:rsidR="007130CD" w:rsidRPr="003E7FFC" w:rsidRDefault="00A34C9E">
      <w:pPr>
        <w:pStyle w:val="Heading2"/>
      </w:pPr>
      <w:r>
        <w:t>“</w:t>
      </w:r>
      <w:r w:rsidR="007130CD" w:rsidRPr="003E7FFC">
        <w:t>Replacement Price</w:t>
      </w:r>
      <w:r>
        <w:t>”</w:t>
      </w:r>
      <w:r w:rsidR="007130CD" w:rsidRPr="003E7FFC">
        <w:t xml:space="preserv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w:t>
      </w:r>
      <w:r>
        <w:t>’</w:t>
      </w:r>
      <w:r w:rsidR="007130CD" w:rsidRPr="003E7FFC">
        <w:t>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w:t>
      </w:r>
      <w:r>
        <w:t>’</w:t>
      </w:r>
      <w:r w:rsidR="007130CD" w:rsidRPr="003E7FFC">
        <w:t>s liability</w:t>
      </w:r>
      <w:r w:rsidR="002B35C9">
        <w:t xml:space="preserve">.  </w:t>
      </w:r>
      <w:r w:rsidR="007130CD" w:rsidRPr="003E7FFC">
        <w:t>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rsidR="007130CD" w:rsidRPr="003E7FFC" w:rsidRDefault="00A34C9E">
      <w:pPr>
        <w:pStyle w:val="Heading2"/>
      </w:pPr>
      <w:r>
        <w:t>“</w:t>
      </w:r>
      <w:r w:rsidR="007130CD" w:rsidRPr="003E7FFC">
        <w:t>S&amp;P</w:t>
      </w:r>
      <w:r>
        <w:t>”</w:t>
      </w:r>
      <w:r w:rsidR="007130CD" w:rsidRPr="003E7FFC">
        <w:t xml:space="preserve"> means the Standard &amp; Poor</w:t>
      </w:r>
      <w:r>
        <w:t>’</w:t>
      </w:r>
      <w:r w:rsidR="007130CD" w:rsidRPr="003E7FFC">
        <w:t>s Rating Group (a division of McGraw-Hill, Inc.) or its successor</w:t>
      </w:r>
      <w:r w:rsidR="002B35C9">
        <w:t xml:space="preserve">.  </w:t>
      </w:r>
    </w:p>
    <w:p w:rsidR="007130CD" w:rsidRPr="003E7FFC" w:rsidRDefault="00A34C9E">
      <w:pPr>
        <w:pStyle w:val="Heading2"/>
      </w:pPr>
      <w:r>
        <w:t>“</w:t>
      </w:r>
      <w:r w:rsidR="007130CD" w:rsidRPr="003E7FFC">
        <w:t>Sales Price</w:t>
      </w:r>
      <w:r>
        <w:t>”</w:t>
      </w:r>
      <w:r w:rsidR="007130CD" w:rsidRPr="003E7FFC">
        <w:t xml:space="preserv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w:t>
      </w:r>
      <w:r>
        <w:t>’</w:t>
      </w:r>
      <w:r w:rsidR="007130CD" w:rsidRPr="003E7FFC">
        <w:t>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w:t>
      </w:r>
      <w:r>
        <w:t>’</w:t>
      </w:r>
      <w:r w:rsidR="007130CD" w:rsidRPr="003E7FFC">
        <w:t>s liability</w:t>
      </w:r>
      <w:r w:rsidR="002B35C9">
        <w:t xml:space="preserve">.  </w:t>
      </w:r>
      <w:r w:rsidR="007130CD" w:rsidRPr="003E7FFC">
        <w:t xml:space="preserve">For purposes of this definition, Seller shall be considered to have resold such Product to the extent Seller shall have </w:t>
      </w:r>
      <w:proofErr w:type="gramStart"/>
      <w:r w:rsidR="007130CD" w:rsidRPr="003E7FFC">
        <w:t>entered into</w:t>
      </w:r>
      <w:proofErr w:type="gramEnd"/>
      <w:r w:rsidR="007130CD" w:rsidRPr="003E7FFC">
        <w:t xml:space="preserve"> one or more arrangements in a commercially reasonable manner whereby Seller repurchases its obligation to purchase and receive the Product from another party at the Delivery Point.</w:t>
      </w:r>
    </w:p>
    <w:p w:rsidR="007130CD" w:rsidRPr="003E7FFC" w:rsidRDefault="00A34C9E">
      <w:pPr>
        <w:pStyle w:val="Heading2"/>
      </w:pPr>
      <w:r>
        <w:t>“</w:t>
      </w:r>
      <w:r w:rsidR="007130CD" w:rsidRPr="003E7FFC">
        <w:t>Schedule</w:t>
      </w:r>
      <w:r>
        <w:t>”</w:t>
      </w:r>
      <w:r w:rsidR="007130CD" w:rsidRPr="003E7FFC">
        <w:t xml:space="preserve"> or </w:t>
      </w:r>
      <w:r>
        <w:t>“</w:t>
      </w:r>
      <w:r w:rsidR="007130CD" w:rsidRPr="003E7FFC">
        <w:t>Scheduling</w:t>
      </w:r>
      <w:r>
        <w:t>”</w:t>
      </w:r>
      <w:r w:rsidR="007130CD" w:rsidRPr="003E7FFC">
        <w:t xml:space="preserve"> means the actions of Seller, Buyer and/or their designated representatives, including each Party</w:t>
      </w:r>
      <w:r>
        <w:t>’</w:t>
      </w:r>
      <w:r w:rsidR="007130CD" w:rsidRPr="003E7FFC">
        <w:t>s Transmission Providers, if applicable, of notifying, requesting and confirming to each other the quantity and type of Product to be delivered on any given day or days during the Delivery Period at a specified Delivery Point.</w:t>
      </w:r>
    </w:p>
    <w:p w:rsidR="007130CD" w:rsidRDefault="00A34C9E">
      <w:pPr>
        <w:pStyle w:val="Heading2"/>
      </w:pPr>
      <w:r>
        <w:t>“</w:t>
      </w:r>
      <w:r w:rsidR="007130CD" w:rsidRPr="003E7FFC">
        <w:t>Seller</w:t>
      </w:r>
      <w:r>
        <w:t>”</w:t>
      </w:r>
      <w:r w:rsidR="007130CD" w:rsidRPr="003E7FFC">
        <w:t xml:space="preserve"> means the Party to a Transaction that is obligated to sell and deliver, or cause to be delivered, the Product, as specified in the Transaction.</w:t>
      </w:r>
    </w:p>
    <w:p w:rsidR="007130CD" w:rsidRPr="003E7FFC" w:rsidRDefault="00A34C9E">
      <w:pPr>
        <w:pStyle w:val="Heading2"/>
      </w:pPr>
      <w:r>
        <w:t>“</w:t>
      </w:r>
      <w:r w:rsidR="007130CD" w:rsidRPr="003E7FFC">
        <w:t>Settlement Amount</w:t>
      </w:r>
      <w:r>
        <w:t>”</w:t>
      </w:r>
      <w:r w:rsidR="007130CD" w:rsidRPr="003E7FFC">
        <w:t xml:space="preserve"> means, with respect to a Transaction and the Non-Defaulting Party, the Losses or Gains, and Costs, expressed in U.S</w:t>
      </w:r>
      <w:r w:rsidR="002B35C9">
        <w:t xml:space="preserve">.  </w:t>
      </w:r>
      <w:r w:rsidR="007130CD" w:rsidRPr="003E7FFC">
        <w:t>Dollars, which such party incurs as a result of the liquidation of a Terminated Transaction pursuant to Section 5.2.</w:t>
      </w:r>
    </w:p>
    <w:p w:rsidR="007130CD" w:rsidRPr="003E7FFC" w:rsidRDefault="00A34C9E">
      <w:pPr>
        <w:pStyle w:val="Heading2"/>
      </w:pPr>
      <w:r>
        <w:lastRenderedPageBreak/>
        <w:t>“</w:t>
      </w:r>
      <w:r w:rsidR="007130CD" w:rsidRPr="003E7FFC">
        <w:t>Strike Price</w:t>
      </w:r>
      <w:r>
        <w:t>”</w:t>
      </w:r>
      <w:r w:rsidR="007130CD" w:rsidRPr="003E7FFC">
        <w:t xml:space="preserve"> means the price to be paid for the purchase of the Product pursuant to an Option.</w:t>
      </w:r>
    </w:p>
    <w:p w:rsidR="007130CD" w:rsidRPr="003E7FFC" w:rsidRDefault="00A34C9E">
      <w:pPr>
        <w:pStyle w:val="Heading2"/>
      </w:pPr>
      <w:r>
        <w:t>“</w:t>
      </w:r>
      <w:r w:rsidR="007130CD" w:rsidRPr="003E7FFC">
        <w:t>Terminated Transaction</w:t>
      </w:r>
      <w:r>
        <w:t>”</w:t>
      </w:r>
      <w:r w:rsidR="007130CD" w:rsidRPr="003E7FFC">
        <w:t xml:space="preserve"> has the meaning set forth in Section 5.2.</w:t>
      </w:r>
    </w:p>
    <w:p w:rsidR="007130CD" w:rsidRPr="003E7FFC" w:rsidRDefault="00A34C9E">
      <w:pPr>
        <w:pStyle w:val="Heading2"/>
      </w:pPr>
      <w:r>
        <w:t>“</w:t>
      </w:r>
      <w:r w:rsidR="007130CD" w:rsidRPr="003E7FFC">
        <w:t>Termination Payment</w:t>
      </w:r>
      <w:r>
        <w:t>”</w:t>
      </w:r>
      <w:r w:rsidR="007130CD" w:rsidRPr="003E7FFC">
        <w:t xml:space="preserve"> has the meaning set forth in Section 5.3.</w:t>
      </w:r>
    </w:p>
    <w:p w:rsidR="007130CD" w:rsidRPr="003E7FFC" w:rsidRDefault="00A34C9E">
      <w:pPr>
        <w:pStyle w:val="Heading2"/>
      </w:pPr>
      <w:r>
        <w:t>“</w:t>
      </w:r>
      <w:r w:rsidR="007130CD" w:rsidRPr="003E7FFC">
        <w:t>Transaction</w:t>
      </w:r>
      <w:r>
        <w:t>”</w:t>
      </w:r>
      <w:r w:rsidR="007130CD" w:rsidRPr="003E7FFC">
        <w:t xml:space="preserve"> means a particular transaction agreed to by the Parties relating to the sale and purchase of a Product pursuant to this Master Agreement.</w:t>
      </w:r>
    </w:p>
    <w:p w:rsidR="007130CD" w:rsidRPr="003E7FFC" w:rsidRDefault="00A34C9E">
      <w:pPr>
        <w:pStyle w:val="Heading2"/>
      </w:pPr>
      <w:r>
        <w:t>“</w:t>
      </w:r>
      <w:r w:rsidR="007130CD" w:rsidRPr="003E7FFC">
        <w:t>Transmission Provider</w:t>
      </w:r>
      <w:r>
        <w:t>”</w:t>
      </w:r>
      <w:r w:rsidR="007130CD" w:rsidRPr="003E7FFC">
        <w:t xml:space="preserve"> means any entity or entities transmitting or transporting the Product on behalf of Seller or Buyer to or from the Delivery Point in a </w:t>
      </w:r>
      <w:proofErr w:type="gramStart"/>
      <w:r w:rsidR="007130CD" w:rsidRPr="003E7FFC">
        <w:t>particular Transaction</w:t>
      </w:r>
      <w:proofErr w:type="gramEnd"/>
      <w:r w:rsidR="007130CD" w:rsidRPr="003E7FFC">
        <w:t>.</w:t>
      </w:r>
    </w:p>
    <w:p w:rsidR="007130CD" w:rsidRPr="003E7FFC" w:rsidRDefault="007130CD">
      <w:pPr>
        <w:pStyle w:val="Heading1"/>
      </w:pPr>
      <w:r w:rsidRPr="003E7FFC">
        <w:t>TRANSACTION TERMS AND CONDITIONS</w:t>
      </w:r>
      <w:r w:rsidR="0005163E" w:rsidRPr="004D0B8E">
        <w:fldChar w:fldCharType="begin"/>
      </w:r>
      <w:r w:rsidRPr="003E7FFC">
        <w:instrText xml:space="preserve"> TC </w:instrText>
      </w:r>
      <w:r w:rsidR="00A34C9E">
        <w:instrText>“</w:instrText>
      </w:r>
      <w:bookmarkStart w:id="12" w:name="_Toc64375670"/>
      <w:r w:rsidRPr="003E7FFC">
        <w:instrText>ARTICLE TWO:</w:instrText>
      </w:r>
      <w:r w:rsidRPr="003E7FFC">
        <w:tab/>
        <w:instrText>TRANSACTION TERMS AND CONDITIONS</w:instrText>
      </w:r>
      <w:bookmarkEnd w:id="12"/>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rsidR="007130CD" w:rsidRPr="003E7FFC" w:rsidRDefault="007130CD" w:rsidP="005B0905">
      <w:pPr>
        <w:pStyle w:val="Heading2"/>
        <w:tabs>
          <w:tab w:val="clear" w:pos="921"/>
          <w:tab w:val="num" w:pos="1440"/>
        </w:tabs>
      </w:pPr>
      <w:r w:rsidRPr="003E7FFC">
        <w:rPr>
          <w:u w:val="single"/>
        </w:rPr>
        <w:t>Transactions</w:t>
      </w:r>
      <w:r w:rsidR="0005163E" w:rsidRPr="004D0B8E">
        <w:rPr>
          <w:u w:val="single"/>
        </w:rPr>
        <w:fldChar w:fldCharType="begin"/>
      </w:r>
      <w:r w:rsidRPr="003E7FFC">
        <w:instrText xml:space="preserve"> TC </w:instrText>
      </w:r>
      <w:r w:rsidR="00A34C9E">
        <w:instrText>“</w:instrText>
      </w:r>
      <w:bookmarkStart w:id="13" w:name="_Toc64375671"/>
      <w:r w:rsidRPr="003E7FFC">
        <w:instrText>2.1</w:instrText>
      </w:r>
      <w:r w:rsidRPr="003E7FFC">
        <w:tab/>
        <w:instrText>Transactions</w:instrText>
      </w:r>
      <w:bookmarkEnd w:id="13"/>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A Transaction shall be entered into upon agreement of the Parties orally or, if expressly required by either Party with respect to a </w:t>
      </w:r>
      <w:proofErr w:type="gramStart"/>
      <w:r w:rsidRPr="003E7FFC">
        <w:t>particular Transaction</w:t>
      </w:r>
      <w:proofErr w:type="gramEnd"/>
      <w:r w:rsidRPr="003E7FFC">
        <w:t>, in writing, including an electronic means of communication</w:t>
      </w:r>
      <w:r w:rsidR="002B35C9">
        <w:t xml:space="preserve">.  </w:t>
      </w:r>
      <w:r w:rsidRPr="003E7FFC">
        <w:t>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rsidR="007130CD" w:rsidRPr="003E7FFC" w:rsidRDefault="007130CD" w:rsidP="005B0905">
      <w:pPr>
        <w:pStyle w:val="Heading2"/>
        <w:tabs>
          <w:tab w:val="clear" w:pos="921"/>
          <w:tab w:val="num" w:pos="1440"/>
        </w:tabs>
      </w:pPr>
      <w:r w:rsidRPr="003E7FFC">
        <w:rPr>
          <w:u w:val="single"/>
        </w:rPr>
        <w:t>Governing Terms</w:t>
      </w:r>
      <w:r w:rsidR="0005163E" w:rsidRPr="004D0B8E">
        <w:rPr>
          <w:u w:val="single"/>
        </w:rPr>
        <w:fldChar w:fldCharType="begin"/>
      </w:r>
      <w:r w:rsidRPr="003E7FFC">
        <w:instrText xml:space="preserve"> TC </w:instrText>
      </w:r>
      <w:r w:rsidR="00A34C9E">
        <w:instrText>“</w:instrText>
      </w:r>
      <w:bookmarkStart w:id="14" w:name="_Toc64375672"/>
      <w:r w:rsidRPr="003E7FFC">
        <w:instrText>2.2</w:instrText>
      </w:r>
      <w:r w:rsidRPr="003E7FFC">
        <w:tab/>
        <w:instrText>Governing Terms</w:instrText>
      </w:r>
      <w:bookmarkEnd w:id="14"/>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Unless otherwise specifically agreed, each Transaction between the Parties shall be governed by this Master Agreement</w:t>
      </w:r>
      <w:r w:rsidR="002B35C9">
        <w:t xml:space="preserve">.  </w:t>
      </w:r>
      <w:r w:rsidRPr="003E7FFC">
        <w:t xml:space="preserve">This Master Agreement (including all exhibits, schedules and any written supplements hereto), the Party A Tariff, if any, and the Party B Tariff, if any, any designated collateral, credit support or margin agreement or similar arrangement between the Parties and all </w:t>
      </w:r>
      <w:r w:rsidRPr="005B0905">
        <w:rPr>
          <w:u w:val="single"/>
        </w:rPr>
        <w:t>Transactions</w:t>
      </w:r>
      <w:r w:rsidRPr="003E7FFC">
        <w:t xml:space="preserve"> (including any Confirmations accepted in accordance with Section 2.3) shall form a single integrated agreement between the Parties</w:t>
      </w:r>
      <w:r w:rsidR="002B35C9">
        <w:t xml:space="preserve">.  </w:t>
      </w:r>
      <w:r w:rsidRPr="003E7FFC">
        <w:t>Any inconsistency between any terms of this Master Agreement and any terms of the Transaction shall be resolved in favor of the terms of such Transaction.</w:t>
      </w:r>
    </w:p>
    <w:p w:rsidR="007130CD" w:rsidRPr="003E7FFC" w:rsidRDefault="007130CD" w:rsidP="005B0905">
      <w:pPr>
        <w:pStyle w:val="Heading2"/>
        <w:tabs>
          <w:tab w:val="clear" w:pos="921"/>
          <w:tab w:val="num" w:pos="1440"/>
        </w:tabs>
      </w:pPr>
      <w:r w:rsidRPr="003E7FFC">
        <w:rPr>
          <w:u w:val="single"/>
        </w:rPr>
        <w:t>Confirmation</w:t>
      </w:r>
      <w:r w:rsidR="0005163E" w:rsidRPr="004D0B8E">
        <w:rPr>
          <w:u w:val="single"/>
        </w:rPr>
        <w:fldChar w:fldCharType="begin"/>
      </w:r>
      <w:r w:rsidRPr="003E7FFC">
        <w:instrText xml:space="preserve"> TC </w:instrText>
      </w:r>
      <w:r w:rsidR="00A34C9E">
        <w:instrText>“</w:instrText>
      </w:r>
      <w:bookmarkStart w:id="15" w:name="_Toc64375673"/>
      <w:r w:rsidRPr="003E7FFC">
        <w:instrText>2.3</w:instrText>
      </w:r>
      <w:r w:rsidRPr="003E7FFC">
        <w:tab/>
        <w:instrText>Confirmation</w:instrText>
      </w:r>
      <w:bookmarkEnd w:id="15"/>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Seller may confirm a Transaction by forwarding to Buyer by facsimile within three (3) Business Days after the Transaction is entered into a confirmation (</w:t>
      </w:r>
      <w:r w:rsidR="00A34C9E">
        <w:t>“</w:t>
      </w:r>
      <w:r w:rsidRPr="003E7FFC">
        <w:t>Confirmation</w:t>
      </w:r>
      <w:r w:rsidR="00A34C9E">
        <w:t>”</w:t>
      </w:r>
      <w:r w:rsidRPr="003E7FFC">
        <w:t>) substantially in the form of Exhibit A</w:t>
      </w:r>
      <w:r w:rsidR="002B35C9">
        <w:t xml:space="preserve">.  </w:t>
      </w:r>
      <w:r w:rsidRPr="003E7FFC">
        <w:t>If Buyer objects to any term(s) of such Confirmation, Buyer shall notify Seller in writing of such objections within two (2) Business Days of Buyer</w:t>
      </w:r>
      <w:r w:rsidR="00A34C9E">
        <w:t>’</w:t>
      </w:r>
      <w:r w:rsidRPr="003E7FFC">
        <w:t>s receipt thereof, failing which Buyer shall be deemed to have accepted the terms as sent</w:t>
      </w:r>
      <w:r w:rsidR="002B35C9">
        <w:t xml:space="preserve">.  </w:t>
      </w:r>
      <w:r w:rsidRPr="003E7FFC">
        <w:t xml:space="preserve">If Seller fails to send a Confirmation within three (3) Business Days after the Transaction is </w:t>
      </w:r>
      <w:proofErr w:type="gramStart"/>
      <w:r w:rsidRPr="003E7FFC">
        <w:t>entered into</w:t>
      </w:r>
      <w:proofErr w:type="gramEnd"/>
      <w:r w:rsidRPr="003E7FFC">
        <w:t>, a Confirmation substantially in the form of Exhibit A, may be forwarded by Buyer to Seller</w:t>
      </w:r>
      <w:r w:rsidR="002B35C9">
        <w:t xml:space="preserve">.  </w:t>
      </w:r>
      <w:r w:rsidRPr="003E7FFC">
        <w:t>If Seller objects to any term(s) of such Confirmation, Seller shall notify Buyer of such objections within two (2) Business Days of Seller</w:t>
      </w:r>
      <w:r w:rsidR="00A34C9E">
        <w:t>’</w:t>
      </w:r>
      <w:r w:rsidRPr="003E7FFC">
        <w:t>s receipt thereof, failing which Seller shall be deemed to have accepted the terms as sent</w:t>
      </w:r>
      <w:r w:rsidR="002B35C9">
        <w:t xml:space="preserve">.  </w:t>
      </w:r>
      <w:r w:rsidRPr="003E7FFC">
        <w:t>If Seller and Buyer each send a Confirmation and neither Party objects to the other Party</w:t>
      </w:r>
      <w:r w:rsidR="00A34C9E">
        <w:t>’</w:t>
      </w:r>
      <w:r w:rsidRPr="003E7FFC">
        <w:t>s Confirmation within two (2) Business Days of receipt, Seller</w:t>
      </w:r>
      <w:r w:rsidR="00A34C9E">
        <w:t>’</w:t>
      </w:r>
      <w:r w:rsidRPr="003E7FFC">
        <w:t>s Confirmation shall be deemed to be accepted and shall be the controlling Confirmation, unless (i) Seller</w:t>
      </w:r>
      <w:r w:rsidR="00A34C9E">
        <w:t>’</w:t>
      </w:r>
      <w:r w:rsidRPr="003E7FFC">
        <w:t>s Confirmation was sent more than three (3) Business Days after the Transaction was entered into and (ii) Buyer</w:t>
      </w:r>
      <w:r w:rsidR="00A34C9E">
        <w:t>’</w:t>
      </w:r>
      <w:r w:rsidRPr="003E7FFC">
        <w:t>s Confirmation was sent prior to Seller</w:t>
      </w:r>
      <w:r w:rsidR="00A34C9E">
        <w:t>’</w:t>
      </w:r>
      <w:r w:rsidRPr="003E7FFC">
        <w:t>s Confirmation, in which case Buyer</w:t>
      </w:r>
      <w:r w:rsidR="00A34C9E">
        <w:t>’</w:t>
      </w:r>
      <w:r w:rsidRPr="003E7FFC">
        <w:t xml:space="preserve">s Confirmation shall be deemed to be accepted and shall be the controlling </w:t>
      </w:r>
      <w:r w:rsidRPr="003E7FFC">
        <w:lastRenderedPageBreak/>
        <w:t>Confirmation</w:t>
      </w:r>
      <w:r w:rsidR="002B35C9">
        <w:t xml:space="preserve">.  </w:t>
      </w:r>
      <w:r w:rsidRPr="003E7FFC">
        <w:t>Failure by either Party to send or either Party to return an executed Confirmation or any objection by either Party shall not invalidate the Transaction agreed to by the Parties.</w:t>
      </w:r>
    </w:p>
    <w:p w:rsidR="007130CD" w:rsidRPr="003E7FFC" w:rsidRDefault="007130CD" w:rsidP="005B0905">
      <w:pPr>
        <w:pStyle w:val="Heading2"/>
        <w:tabs>
          <w:tab w:val="clear" w:pos="921"/>
          <w:tab w:val="num" w:pos="1440"/>
        </w:tabs>
      </w:pPr>
      <w:r w:rsidRPr="003E7FFC">
        <w:rPr>
          <w:u w:val="single"/>
        </w:rPr>
        <w:t>Additional Confirmation Terms</w:t>
      </w:r>
      <w:r w:rsidR="0005163E" w:rsidRPr="004D0B8E">
        <w:rPr>
          <w:u w:val="single"/>
        </w:rPr>
        <w:fldChar w:fldCharType="begin"/>
      </w:r>
      <w:r w:rsidRPr="003E7FFC">
        <w:instrText xml:space="preserve"> TC </w:instrText>
      </w:r>
      <w:r w:rsidR="00A34C9E">
        <w:instrText>“</w:instrText>
      </w:r>
      <w:bookmarkStart w:id="16" w:name="_Toc64375674"/>
      <w:r w:rsidRPr="003E7FFC">
        <w:instrText>2.4</w:instrText>
      </w:r>
      <w:r w:rsidRPr="003E7FFC">
        <w:tab/>
        <w:instrText>Additional Confirmation Terms</w:instrText>
      </w:r>
      <w:bookmarkEnd w:id="16"/>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rsidR="007130CD" w:rsidRPr="003E7FFC" w:rsidRDefault="007130CD" w:rsidP="005B0905">
      <w:pPr>
        <w:pStyle w:val="Heading2"/>
        <w:tabs>
          <w:tab w:val="clear" w:pos="921"/>
          <w:tab w:val="num" w:pos="1440"/>
        </w:tabs>
      </w:pPr>
      <w:r w:rsidRPr="003E7FFC">
        <w:rPr>
          <w:u w:val="single"/>
        </w:rPr>
        <w:t>Recording</w:t>
      </w:r>
      <w:r w:rsidR="0005163E" w:rsidRPr="004D0B8E">
        <w:rPr>
          <w:u w:val="single"/>
        </w:rPr>
        <w:fldChar w:fldCharType="begin"/>
      </w:r>
      <w:r w:rsidRPr="003E7FFC">
        <w:instrText xml:space="preserve"> TC </w:instrText>
      </w:r>
      <w:r w:rsidR="00A34C9E">
        <w:instrText>“</w:instrText>
      </w:r>
      <w:bookmarkStart w:id="17" w:name="_Toc64375675"/>
      <w:r w:rsidRPr="003E7FFC">
        <w:instrText>2.5</w:instrText>
      </w:r>
      <w:r w:rsidRPr="003E7FFC">
        <w:tab/>
        <w:instrText>Recording</w:instrText>
      </w:r>
      <w:bookmarkEnd w:id="17"/>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Unless a Party expressly objects to a Recording (defined below) at the beginning of a telephone conversation, each Party consents to the creation of a tape or electronic recording (</w:t>
      </w:r>
      <w:r w:rsidR="00A34C9E">
        <w:t>“</w:t>
      </w:r>
      <w:r w:rsidRPr="003E7FFC">
        <w:t>Recording</w:t>
      </w:r>
      <w:r w:rsidR="00A34C9E">
        <w:t>”</w:t>
      </w:r>
      <w:r w:rsidRPr="003E7FFC">
        <w:t>) of all telephone conversations between the Parties to this Master Agreement, and that any such Recordings will be retained in confidence, secured from improper access, and may be submitted in evidence in any proceeding or action relating to this Agreement</w:t>
      </w:r>
      <w:r w:rsidR="002B35C9">
        <w:t xml:space="preserve">.  </w:t>
      </w:r>
      <w:r w:rsidRPr="003E7FFC">
        <w:t>Each Party waives any further notice of such monitoring or recording, and agrees to notify its officers and employees of such monitoring or recording and to obtain any necessary consent of such officers and employees</w:t>
      </w:r>
      <w:r w:rsidR="002B35C9">
        <w:t xml:space="preserve">.  </w:t>
      </w:r>
      <w:r w:rsidRPr="003E7FFC">
        <w:t>The Recording, and the terms and conditions described therein, if admissible, shall be the controlling evidence for the Parties</w:t>
      </w:r>
      <w:r w:rsidR="00A34C9E">
        <w:t>’</w:t>
      </w:r>
      <w:r w:rsidRPr="003E7FFC">
        <w:t xml:space="preserve"> agreement with respect to a </w:t>
      </w:r>
      <w:proofErr w:type="gramStart"/>
      <w:r w:rsidRPr="003E7FFC">
        <w:t>particular Transaction</w:t>
      </w:r>
      <w:proofErr w:type="gramEnd"/>
      <w:r w:rsidRPr="003E7FFC">
        <w:t xml:space="preserve"> in the event a Confirmation is not fully executed (or deemed accepted) by both Parties</w:t>
      </w:r>
      <w:r w:rsidR="002B35C9">
        <w:t xml:space="preserve">.  </w:t>
      </w:r>
      <w:r w:rsidRPr="003E7FFC">
        <w:t>Upon full execution (or deemed acceptance) of a Confirmation, such Confirmation shall control in the event of any conflict with the terms of a Recording, or in the event of any conflict with the terms of this Master Agreement</w:t>
      </w:r>
      <w:r w:rsidR="002B35C9">
        <w:t xml:space="preserve">.  </w:t>
      </w:r>
    </w:p>
    <w:p w:rsidR="007130CD" w:rsidRPr="003E7FFC" w:rsidRDefault="007130CD">
      <w:pPr>
        <w:pStyle w:val="Heading1"/>
      </w:pPr>
      <w:r w:rsidRPr="003E7FFC">
        <w:t>OBLIGATIONS AND DELIVERIES</w:t>
      </w:r>
      <w:r w:rsidR="0005163E" w:rsidRPr="004D0B8E">
        <w:fldChar w:fldCharType="begin"/>
      </w:r>
      <w:r w:rsidRPr="003E7FFC">
        <w:instrText xml:space="preserve"> TC </w:instrText>
      </w:r>
      <w:r w:rsidR="00A34C9E">
        <w:instrText>“</w:instrText>
      </w:r>
      <w:bookmarkStart w:id="18" w:name="_Toc64375676"/>
      <w:r w:rsidRPr="003E7FFC">
        <w:instrText>ARTICLE THREE:</w:instrText>
      </w:r>
      <w:r w:rsidRPr="003E7FFC">
        <w:tab/>
        <w:instrText>OBLIGATIONS AND DELIVERIES</w:instrText>
      </w:r>
      <w:bookmarkEnd w:id="18"/>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rsidR="007130CD" w:rsidRPr="003E7FFC" w:rsidRDefault="007130CD" w:rsidP="005B0905">
      <w:pPr>
        <w:pStyle w:val="Heading2"/>
        <w:tabs>
          <w:tab w:val="clear" w:pos="921"/>
          <w:tab w:val="num" w:pos="1440"/>
        </w:tabs>
      </w:pPr>
      <w:r w:rsidRPr="003E7FFC">
        <w:rPr>
          <w:u w:val="single"/>
        </w:rPr>
        <w:t>Seller</w:t>
      </w:r>
      <w:r w:rsidR="00A34C9E">
        <w:rPr>
          <w:u w:val="single"/>
        </w:rPr>
        <w:t>’</w:t>
      </w:r>
      <w:r w:rsidRPr="003E7FFC">
        <w:rPr>
          <w:u w:val="single"/>
        </w:rPr>
        <w:t>s and Buyer</w:t>
      </w:r>
      <w:r w:rsidR="00A34C9E">
        <w:rPr>
          <w:u w:val="single"/>
        </w:rPr>
        <w:t>’</w:t>
      </w:r>
      <w:r w:rsidRPr="003E7FFC">
        <w:rPr>
          <w:u w:val="single"/>
        </w:rPr>
        <w:t>s Obligations</w:t>
      </w:r>
      <w:r w:rsidR="0005163E" w:rsidRPr="004D0B8E">
        <w:rPr>
          <w:u w:val="single"/>
        </w:rPr>
        <w:fldChar w:fldCharType="begin"/>
      </w:r>
      <w:r w:rsidRPr="003E7FFC">
        <w:instrText xml:space="preserve"> TC </w:instrText>
      </w:r>
      <w:r w:rsidR="00A34C9E">
        <w:instrText>“</w:instrText>
      </w:r>
      <w:bookmarkStart w:id="19" w:name="_Toc64375677"/>
      <w:r w:rsidRPr="003E7FFC">
        <w:instrText>3.1</w:instrText>
      </w:r>
      <w:r w:rsidRPr="003E7FFC">
        <w:tab/>
        <w:instrText>Seller</w:instrText>
      </w:r>
      <w:r w:rsidR="00A34C9E">
        <w:instrText>’</w:instrText>
      </w:r>
      <w:r w:rsidRPr="003E7FFC">
        <w:instrText>s and Buyer</w:instrText>
      </w:r>
      <w:r w:rsidR="00A34C9E">
        <w:instrText>’</w:instrText>
      </w:r>
      <w:r w:rsidRPr="003E7FFC">
        <w:instrText>s Obligations</w:instrText>
      </w:r>
      <w:bookmarkEnd w:id="19"/>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w:t>
      </w:r>
      <w:r w:rsidR="002B35C9">
        <w:t xml:space="preserve">.  </w:t>
      </w:r>
      <w:r w:rsidRPr="003E7FFC">
        <w:t>Seller shall be responsible for any costs or charges imposed on or associated with the Product or its delivery of the Product up to the Delivery Point</w:t>
      </w:r>
      <w:r w:rsidR="002B35C9">
        <w:t xml:space="preserve">.  </w:t>
      </w:r>
      <w:r w:rsidRPr="003E7FFC">
        <w:t>Buyer shall be responsible for any costs or charges imposed on or associated with the Product or its receipt at and from the Delivery Point</w:t>
      </w:r>
      <w:r w:rsidR="002B35C9">
        <w:t xml:space="preserve">.  </w:t>
      </w:r>
    </w:p>
    <w:p w:rsidR="007130CD" w:rsidRPr="003E7FFC" w:rsidRDefault="007130CD" w:rsidP="005B0905">
      <w:pPr>
        <w:pStyle w:val="Heading2"/>
        <w:tabs>
          <w:tab w:val="clear" w:pos="921"/>
          <w:tab w:val="num" w:pos="1440"/>
        </w:tabs>
      </w:pPr>
      <w:r w:rsidRPr="003E7FFC">
        <w:rPr>
          <w:u w:val="single"/>
        </w:rPr>
        <w:t>Transmission and Scheduling</w:t>
      </w:r>
      <w:r w:rsidR="0005163E" w:rsidRPr="004D0B8E">
        <w:rPr>
          <w:u w:val="single"/>
        </w:rPr>
        <w:fldChar w:fldCharType="begin"/>
      </w:r>
      <w:r w:rsidRPr="003E7FFC">
        <w:instrText xml:space="preserve"> TC </w:instrText>
      </w:r>
      <w:r w:rsidR="00A34C9E">
        <w:instrText>“</w:instrText>
      </w:r>
      <w:bookmarkStart w:id="20" w:name="_Toc64375678"/>
      <w:r w:rsidRPr="003E7FFC">
        <w:instrText>3.2</w:instrText>
      </w:r>
      <w:r w:rsidRPr="003E7FFC">
        <w:tab/>
        <w:instrText>Transmission and Scheduling</w:instrText>
      </w:r>
      <w:bookmarkEnd w:id="20"/>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w:t>
      </w:r>
      <w:r w:rsidR="002B35C9">
        <w:t xml:space="preserve">.  </w:t>
      </w:r>
      <w:r w:rsidRPr="003E7FFC">
        <w:t>Buyer shall arrange and be responsible for transmission service at and from the Delivery Point and shall Schedule or arrange for Scheduling services with its Transmission Providers to receive the Product at the Delivery Point.</w:t>
      </w:r>
    </w:p>
    <w:p w:rsidR="007130CD" w:rsidRPr="003E7FFC" w:rsidRDefault="007130CD" w:rsidP="005B0905">
      <w:pPr>
        <w:pStyle w:val="Heading2"/>
        <w:tabs>
          <w:tab w:val="clear" w:pos="921"/>
          <w:tab w:val="num" w:pos="1440"/>
        </w:tabs>
      </w:pPr>
      <w:r w:rsidRPr="003E7FFC">
        <w:rPr>
          <w:u w:val="single"/>
        </w:rPr>
        <w:t>Force Majeure</w:t>
      </w:r>
      <w:r w:rsidR="0005163E" w:rsidRPr="004D0B8E">
        <w:rPr>
          <w:u w:val="single"/>
        </w:rPr>
        <w:fldChar w:fldCharType="begin"/>
      </w:r>
      <w:r w:rsidRPr="003E7FFC">
        <w:instrText xml:space="preserve"> TC </w:instrText>
      </w:r>
      <w:r w:rsidR="00A34C9E">
        <w:instrText>“</w:instrText>
      </w:r>
      <w:bookmarkStart w:id="21" w:name="_Toc64375679"/>
      <w:r w:rsidRPr="003E7FFC">
        <w:instrText>3.3</w:instrText>
      </w:r>
      <w:r w:rsidRPr="003E7FFC">
        <w:tab/>
        <w:instrText>Force Majeure</w:instrText>
      </w:r>
      <w:bookmarkEnd w:id="21"/>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To the extent either Party is prevented by Force Majeure from carrying out, in whole or part, its obligations under the Transaction and such Party (the </w:t>
      </w:r>
      <w:r w:rsidR="00A34C9E">
        <w:t>“</w:t>
      </w:r>
      <w:r w:rsidRPr="003E7FFC">
        <w:t>Claiming Party</w:t>
      </w:r>
      <w:r w:rsidR="00A34C9E">
        <w:t>”</w:t>
      </w:r>
      <w:r w:rsidRPr="003E7FFC">
        <w:t xml:space="preserve">) gives notice and details of the Force Majeure to the other Party as soon as practicable, </w:t>
      </w:r>
      <w:r w:rsidRPr="003E7FFC">
        <w:lastRenderedPageBreak/>
        <w:t>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w:t>
      </w:r>
      <w:r w:rsidR="002B35C9">
        <w:t xml:space="preserve">.  </w:t>
      </w:r>
      <w:r w:rsidRPr="003E7FFC">
        <w:t>The Claiming Party shall remedy the Force Majeure with all reasonable dispatch</w:t>
      </w:r>
      <w:r w:rsidR="002B35C9">
        <w:t xml:space="preserve">.  </w:t>
      </w:r>
      <w:r w:rsidRPr="003E7FFC">
        <w:t>The non-Claiming Party shall not be required to perform or resume performance of its obligations to the Claiming Party corresponding to the obligations of the Claiming Party excused by Force Majeure.</w:t>
      </w:r>
    </w:p>
    <w:p w:rsidR="007130CD" w:rsidRPr="003E7FFC" w:rsidRDefault="007130CD">
      <w:pPr>
        <w:pStyle w:val="Heading1"/>
      </w:pPr>
      <w:r w:rsidRPr="003E7FFC">
        <w:t>REMEDIES FOR FAILURE TO DELIVER/RECEIVE</w:t>
      </w:r>
      <w:r w:rsidR="0005163E" w:rsidRPr="004D0B8E">
        <w:fldChar w:fldCharType="begin"/>
      </w:r>
      <w:r w:rsidRPr="003E7FFC">
        <w:instrText xml:space="preserve"> TC </w:instrText>
      </w:r>
      <w:r w:rsidR="00A34C9E">
        <w:instrText>“</w:instrText>
      </w:r>
      <w:bookmarkStart w:id="22" w:name="_Toc64375680"/>
      <w:r w:rsidRPr="003E7FFC">
        <w:instrText>ARTICLE FOUR:</w:instrText>
      </w:r>
      <w:r w:rsidRPr="003E7FFC">
        <w:tab/>
        <w:instrText>REMEDIES FOR FAILURE TO DELIVER/RECEIVE</w:instrText>
      </w:r>
      <w:bookmarkEnd w:id="22"/>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rsidR="007130CD" w:rsidRPr="003E7FFC" w:rsidRDefault="007130CD" w:rsidP="005B0905">
      <w:pPr>
        <w:pStyle w:val="Heading2"/>
        <w:tabs>
          <w:tab w:val="clear" w:pos="921"/>
          <w:tab w:val="num" w:pos="1440"/>
        </w:tabs>
      </w:pPr>
      <w:r w:rsidRPr="003E7FFC">
        <w:rPr>
          <w:u w:val="single"/>
        </w:rPr>
        <w:t>Seller Failure</w:t>
      </w:r>
      <w:r w:rsidR="0005163E" w:rsidRPr="004D0B8E">
        <w:rPr>
          <w:u w:val="single"/>
        </w:rPr>
        <w:fldChar w:fldCharType="begin"/>
      </w:r>
      <w:r w:rsidRPr="003E7FFC">
        <w:instrText xml:space="preserve"> TC </w:instrText>
      </w:r>
      <w:r w:rsidR="00A34C9E">
        <w:instrText>“</w:instrText>
      </w:r>
      <w:bookmarkStart w:id="23" w:name="_Toc64375681"/>
      <w:r w:rsidRPr="003E7FFC">
        <w:instrText>4.1</w:instrText>
      </w:r>
      <w:r w:rsidRPr="003E7FFC">
        <w:tab/>
        <w:instrText>Seller Failure</w:instrText>
      </w:r>
      <w:bookmarkEnd w:id="23"/>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If Seller fails to schedule and/or deliver all or part of the Product pursuant to a Transaction, and such failure is not excused under the terms of the Product or by Buyer</w:t>
      </w:r>
      <w:r w:rsidR="00A34C9E">
        <w:t>’</w:t>
      </w:r>
      <w:r w:rsidRPr="003E7FFC">
        <w:t xml:space="preserve">s failure to perform, then Seller shall pay Buyer, on the date payment would otherwise be due in respect of the month in which the failure occurred or, if </w:t>
      </w:r>
      <w:r w:rsidR="00A34C9E">
        <w:t>“</w:t>
      </w:r>
      <w:r w:rsidRPr="003E7FFC">
        <w:t>Accelerated Payment of Damages</w:t>
      </w:r>
      <w:r w:rsidR="00A34C9E">
        <w:t>”</w:t>
      </w:r>
      <w:r w:rsidRPr="003E7FFC">
        <w:t xml:space="preserve"> is specified on the Cover Sheet, within five (5) Business Days of invoice receipt, an amount for such deficiency equal to the positive difference, if any, obtained by subtracting the Contract Price from the Replacement Price</w:t>
      </w:r>
      <w:r w:rsidR="002B35C9">
        <w:t xml:space="preserve">.  </w:t>
      </w:r>
      <w:r w:rsidRPr="003E7FFC">
        <w:t>The invoice for such amount shall include a written statement explaining in reasonable detail the calculation of such amount.</w:t>
      </w:r>
    </w:p>
    <w:p w:rsidR="007130CD" w:rsidRPr="003E7FFC" w:rsidRDefault="007130CD" w:rsidP="005B0905">
      <w:pPr>
        <w:pStyle w:val="Heading2"/>
        <w:tabs>
          <w:tab w:val="clear" w:pos="921"/>
          <w:tab w:val="num" w:pos="1440"/>
        </w:tabs>
      </w:pPr>
      <w:r w:rsidRPr="003E7FFC">
        <w:rPr>
          <w:u w:val="single"/>
        </w:rPr>
        <w:t>Buyer Failure</w:t>
      </w:r>
      <w:r w:rsidR="0005163E" w:rsidRPr="004D0B8E">
        <w:rPr>
          <w:u w:val="single"/>
        </w:rPr>
        <w:fldChar w:fldCharType="begin"/>
      </w:r>
      <w:r w:rsidRPr="003E7FFC">
        <w:instrText xml:space="preserve"> TC </w:instrText>
      </w:r>
      <w:r w:rsidR="00A34C9E">
        <w:instrText>“</w:instrText>
      </w:r>
      <w:bookmarkStart w:id="24" w:name="_Toc64375682"/>
      <w:r w:rsidRPr="003E7FFC">
        <w:instrText>4.2</w:instrText>
      </w:r>
      <w:r w:rsidRPr="003E7FFC">
        <w:tab/>
        <w:instrText>Buyer Failure</w:instrText>
      </w:r>
      <w:bookmarkEnd w:id="24"/>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If Buyer fails to schedule and/or receive all or part of the Product pursuant to a Transaction and such failure is not excused under the terms of the Product or by Seller</w:t>
      </w:r>
      <w:r w:rsidR="00A34C9E">
        <w:t>’</w:t>
      </w:r>
      <w:r w:rsidRPr="003E7FFC">
        <w:t xml:space="preserve">s failure to perform, then Buyer shall pay Seller, on the date payment would otherwise be due in respect of the month in which the failure occurred or, if </w:t>
      </w:r>
      <w:r w:rsidR="00A34C9E">
        <w:t>“</w:t>
      </w:r>
      <w:r w:rsidRPr="003E7FFC">
        <w:t>Accelerated Payment of Damages</w:t>
      </w:r>
      <w:r w:rsidR="00A34C9E">
        <w:t>”</w:t>
      </w:r>
      <w:r w:rsidRPr="003E7FFC">
        <w:t xml:space="preserve"> is specified on the Cover Sheet, within five (5) Business Days of invoice receipt, an amount for such deficiency equal to the positive difference, if any, obtained by subtracting the Sales Price from the Contract Price</w:t>
      </w:r>
      <w:r w:rsidR="002B35C9">
        <w:t xml:space="preserve">.  </w:t>
      </w:r>
      <w:r w:rsidRPr="003E7FFC">
        <w:t>The invoice for such amount shall include a written statement explaining in reasonable detail the calculation of such amount.</w:t>
      </w:r>
    </w:p>
    <w:p w:rsidR="007130CD" w:rsidRPr="003E7FFC" w:rsidRDefault="007130CD">
      <w:pPr>
        <w:pStyle w:val="Heading1"/>
      </w:pPr>
      <w:r w:rsidRPr="003E7FFC">
        <w:t>EVENTS OF DEFAULT; REMEDIES</w:t>
      </w:r>
      <w:r w:rsidR="0005163E" w:rsidRPr="004D0B8E">
        <w:fldChar w:fldCharType="begin"/>
      </w:r>
      <w:r w:rsidRPr="003E7FFC">
        <w:instrText xml:space="preserve"> TC </w:instrText>
      </w:r>
      <w:r w:rsidR="00A34C9E">
        <w:instrText>“</w:instrText>
      </w:r>
      <w:bookmarkStart w:id="25" w:name="_Toc64375683"/>
      <w:r w:rsidRPr="003E7FFC">
        <w:instrText>ARTICLE FIVE:</w:instrText>
      </w:r>
      <w:r w:rsidRPr="003E7FFC">
        <w:tab/>
        <w:instrText>EVENTS OF DEFAULT; REMEDIES</w:instrText>
      </w:r>
      <w:bookmarkEnd w:id="25"/>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rsidR="007130CD" w:rsidRPr="003E7FFC" w:rsidRDefault="007130CD" w:rsidP="005B0905">
      <w:pPr>
        <w:pStyle w:val="Heading2"/>
        <w:tabs>
          <w:tab w:val="clear" w:pos="921"/>
          <w:tab w:val="num" w:pos="1440"/>
        </w:tabs>
      </w:pPr>
      <w:r w:rsidRPr="003E7FFC">
        <w:rPr>
          <w:u w:val="single"/>
        </w:rPr>
        <w:t>Events of Default</w:t>
      </w:r>
      <w:r w:rsidR="0005163E" w:rsidRPr="004D0B8E">
        <w:rPr>
          <w:u w:val="single"/>
        </w:rPr>
        <w:fldChar w:fldCharType="begin"/>
      </w:r>
      <w:r w:rsidRPr="003E7FFC">
        <w:instrText xml:space="preserve"> TC </w:instrText>
      </w:r>
      <w:r w:rsidR="00A34C9E">
        <w:instrText>“</w:instrText>
      </w:r>
      <w:bookmarkStart w:id="26" w:name="_Toc64375684"/>
      <w:r w:rsidRPr="003E7FFC">
        <w:instrText>5.1</w:instrText>
      </w:r>
      <w:r w:rsidRPr="003E7FFC">
        <w:tab/>
        <w:instrText>Events of Default</w:instrText>
      </w:r>
      <w:bookmarkEnd w:id="26"/>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An </w:t>
      </w:r>
      <w:r w:rsidR="00A34C9E">
        <w:t>“</w:t>
      </w:r>
      <w:r w:rsidRPr="003E7FFC">
        <w:t>Event of Default</w:t>
      </w:r>
      <w:r w:rsidR="00A34C9E">
        <w:t>”</w:t>
      </w:r>
      <w:r w:rsidRPr="003E7FFC">
        <w:t xml:space="preserve"> shall mean, with respect to a Party (a </w:t>
      </w:r>
      <w:r w:rsidR="00A34C9E">
        <w:t>“</w:t>
      </w:r>
      <w:r w:rsidRPr="003E7FFC">
        <w:t>Defaulting Party</w:t>
      </w:r>
      <w:r w:rsidR="00A34C9E">
        <w:t>”</w:t>
      </w:r>
      <w:r w:rsidRPr="003E7FFC">
        <w:t>), the occurrence of any of the following:</w:t>
      </w:r>
    </w:p>
    <w:p w:rsidR="007130CD" w:rsidRPr="003E7FFC" w:rsidRDefault="007130CD">
      <w:pPr>
        <w:pStyle w:val="Heading3"/>
        <w:tabs>
          <w:tab w:val="clear" w:pos="2160"/>
        </w:tabs>
      </w:pPr>
      <w:r w:rsidRPr="003E7FFC">
        <w:t>the failure to make, when due, any payment required pursuant to this Agreement if such failure is not remedied within three (3) Business Days after written notice;</w:t>
      </w:r>
    </w:p>
    <w:p w:rsidR="007130CD" w:rsidRPr="003E7FFC" w:rsidRDefault="007130CD">
      <w:pPr>
        <w:pStyle w:val="Heading3"/>
        <w:tabs>
          <w:tab w:val="clear" w:pos="2160"/>
        </w:tabs>
      </w:pPr>
      <w:r w:rsidRPr="003E7FFC">
        <w:t>any representation or warranty made by such Party herein is false or misleading in any material respect when made or when deemed made or repeated;</w:t>
      </w:r>
    </w:p>
    <w:p w:rsidR="007130CD" w:rsidRPr="003E7FFC" w:rsidRDefault="007130CD">
      <w:pPr>
        <w:pStyle w:val="Heading3"/>
        <w:tabs>
          <w:tab w:val="clear" w:pos="2160"/>
        </w:tabs>
      </w:pPr>
      <w:r w:rsidRPr="003E7FFC">
        <w:t>the failure to perform any material covenant or obligation set forth in this Agreement (except to the extent constituting a separate Event of Default, and except for such Party</w:t>
      </w:r>
      <w:r w:rsidR="00A34C9E">
        <w:t>’</w:t>
      </w:r>
      <w:r w:rsidRPr="003E7FFC">
        <w:t>s obligations to deliver or receive the Product, the exclusive remedy for which is provided in Article Four) if such failure is not remedied within three (3) Business Days after written notice;</w:t>
      </w:r>
    </w:p>
    <w:p w:rsidR="007130CD" w:rsidRPr="003E7FFC" w:rsidRDefault="007130CD">
      <w:pPr>
        <w:pStyle w:val="Heading3"/>
        <w:tabs>
          <w:tab w:val="clear" w:pos="2160"/>
        </w:tabs>
      </w:pPr>
      <w:r w:rsidRPr="003E7FFC">
        <w:t>such Party becomes Bankrupt;</w:t>
      </w:r>
    </w:p>
    <w:p w:rsidR="007130CD" w:rsidRPr="003E7FFC" w:rsidRDefault="007130CD">
      <w:pPr>
        <w:pStyle w:val="Heading3"/>
        <w:tabs>
          <w:tab w:val="clear" w:pos="2160"/>
        </w:tabs>
      </w:pPr>
      <w:r w:rsidRPr="003E7FFC">
        <w:lastRenderedPageBreak/>
        <w:t>the failure of such Party to satisfy the creditworthiness/collateral requirements agreed to pursuant to Article Eight hereof;</w:t>
      </w:r>
    </w:p>
    <w:p w:rsidR="007130CD" w:rsidRPr="003E7FFC" w:rsidRDefault="007130CD">
      <w:pPr>
        <w:pStyle w:val="Heading3"/>
        <w:tabs>
          <w:tab w:val="clear" w:pos="2160"/>
        </w:tabs>
      </w:pPr>
      <w:r w:rsidRPr="003E7FFC">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rsidR="007130CD" w:rsidRPr="003E7FFC" w:rsidRDefault="007130CD">
      <w:pPr>
        <w:pStyle w:val="Heading3"/>
        <w:tabs>
          <w:tab w:val="clear" w:pos="2160"/>
        </w:tabs>
      </w:pPr>
      <w:r w:rsidRPr="003E7FFC">
        <w:t xml:space="preserve">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w:t>
      </w:r>
      <w:r w:rsidR="00953373" w:rsidRPr="003E7FFC">
        <w:t>therefor</w:t>
      </w:r>
      <w:r w:rsidRPr="003E7FFC">
        <w:t xml:space="preserve"> one or more payments, individually or collectively, in an aggregate amount of not less than the applicable Cross Default Amount (as specified in the Cover Sheet);</w:t>
      </w:r>
    </w:p>
    <w:p w:rsidR="007130CD" w:rsidRPr="003E7FFC" w:rsidRDefault="007130CD">
      <w:pPr>
        <w:pStyle w:val="Heading3"/>
        <w:tabs>
          <w:tab w:val="clear" w:pos="2160"/>
        </w:tabs>
      </w:pPr>
      <w:r w:rsidRPr="003E7FFC">
        <w:t>with respect to such Party</w:t>
      </w:r>
      <w:r w:rsidR="00A34C9E">
        <w:t>’</w:t>
      </w:r>
      <w:r w:rsidRPr="003E7FFC">
        <w:t>s Guarantor, if any:</w:t>
      </w:r>
    </w:p>
    <w:p w:rsidR="007130CD" w:rsidRPr="003E7FFC" w:rsidRDefault="007130CD">
      <w:pPr>
        <w:pStyle w:val="Heading4"/>
        <w:tabs>
          <w:tab w:val="clear" w:pos="2880"/>
        </w:tabs>
      </w:pPr>
      <w:r w:rsidRPr="003E7FFC">
        <w:t>if any representation or warranty made by a Guarantor in connection with this Agreement is false or misleading in any material respect when made or when deemed made or repeated;</w:t>
      </w:r>
    </w:p>
    <w:p w:rsidR="007130CD" w:rsidRPr="003E7FFC" w:rsidRDefault="007130CD">
      <w:pPr>
        <w:pStyle w:val="Heading4"/>
        <w:tabs>
          <w:tab w:val="clear" w:pos="2880"/>
        </w:tabs>
      </w:pPr>
      <w:r w:rsidRPr="003E7FFC">
        <w:t>the failure of a Guarantor to make any payment required or to perform any other material covenant or obligation in any guaranty made in connection with this Agreement and such failure shall not be remedied within three (3) Business Days after written notice;</w:t>
      </w:r>
    </w:p>
    <w:p w:rsidR="007130CD" w:rsidRPr="003E7FFC" w:rsidRDefault="007130CD">
      <w:pPr>
        <w:pStyle w:val="Heading4"/>
        <w:tabs>
          <w:tab w:val="clear" w:pos="2880"/>
        </w:tabs>
      </w:pPr>
      <w:r w:rsidRPr="003E7FFC">
        <w:t xml:space="preserve">a Guarantor becomes Bankrupt; </w:t>
      </w:r>
    </w:p>
    <w:p w:rsidR="007130CD" w:rsidRPr="003E7FFC" w:rsidRDefault="007130CD">
      <w:pPr>
        <w:pStyle w:val="Heading4"/>
        <w:tabs>
          <w:tab w:val="clear" w:pos="2880"/>
        </w:tabs>
      </w:pPr>
      <w:r w:rsidRPr="003E7FFC">
        <w:t>the failure of a Guarantor</w:t>
      </w:r>
      <w:r w:rsidR="00A34C9E">
        <w:t>’</w:t>
      </w:r>
      <w:r w:rsidRPr="003E7FFC">
        <w:t>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rsidR="007130CD" w:rsidRPr="003E7FFC" w:rsidRDefault="007130CD">
      <w:pPr>
        <w:pStyle w:val="Heading4"/>
        <w:tabs>
          <w:tab w:val="clear" w:pos="2880"/>
        </w:tabs>
      </w:pPr>
      <w:r w:rsidRPr="003E7FFC">
        <w:t>a Guarantor shall repudiate, disaffirm, disclaim, or reject, in whole or in part, or challenge the validity of any guaranty</w:t>
      </w:r>
      <w:r w:rsidR="002B35C9">
        <w:t xml:space="preserve">.  </w:t>
      </w:r>
    </w:p>
    <w:p w:rsidR="007130CD" w:rsidRPr="003E7FFC" w:rsidRDefault="007130CD" w:rsidP="005B0905">
      <w:pPr>
        <w:pStyle w:val="Heading2"/>
        <w:tabs>
          <w:tab w:val="clear" w:pos="921"/>
          <w:tab w:val="num" w:pos="1440"/>
        </w:tabs>
      </w:pPr>
      <w:r w:rsidRPr="003E7FFC">
        <w:rPr>
          <w:u w:val="single"/>
        </w:rPr>
        <w:lastRenderedPageBreak/>
        <w:t>Declaration of an Early Termination Date and Calculation of Settlement Amounts</w:t>
      </w:r>
      <w:r w:rsidR="0005163E" w:rsidRPr="004D0B8E">
        <w:rPr>
          <w:u w:val="single"/>
        </w:rPr>
        <w:fldChar w:fldCharType="begin"/>
      </w:r>
      <w:r w:rsidRPr="003E7FFC">
        <w:instrText xml:space="preserve"> TC </w:instrText>
      </w:r>
      <w:r w:rsidR="00A34C9E">
        <w:instrText>“</w:instrText>
      </w:r>
      <w:bookmarkStart w:id="27" w:name="_Toc64375685"/>
      <w:r w:rsidRPr="003E7FFC">
        <w:instrText>5.2</w:instrText>
      </w:r>
      <w:r w:rsidRPr="003E7FFC">
        <w:tab/>
        <w:instrText>Declaration of an Early Termination Date and Calculation of Settlement Amounts</w:instrText>
      </w:r>
      <w:bookmarkEnd w:id="27"/>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If an Event of Default with respect to a Defaulting Party shall have occurred and be continuing, the other Party (the </w:t>
      </w:r>
      <w:r w:rsidR="00A34C9E">
        <w:t>“</w:t>
      </w:r>
      <w:r w:rsidRPr="003E7FFC">
        <w:t>Non-Defaulting Party</w:t>
      </w:r>
      <w:r w:rsidR="00A34C9E">
        <w:t>”</w:t>
      </w:r>
      <w:r w:rsidRPr="003E7FFC">
        <w:t>) shall have the right (i) to designate a day, no earlier than the day such notice is effective and no later than 20 days after such notice is effective, as an early termination date (</w:t>
      </w:r>
      <w:r w:rsidR="00A34C9E">
        <w:t>“</w:t>
      </w:r>
      <w:r w:rsidRPr="003E7FFC">
        <w:t>Early Termination Date</w:t>
      </w:r>
      <w:r w:rsidR="00A34C9E">
        <w:t>”</w:t>
      </w:r>
      <w:r w:rsidRPr="003E7FFC">
        <w:t xml:space="preserve">) to accelerate all amounts owing between the Parties and to liquidate and terminate all, but not less than all, Transactions (each referred to as a </w:t>
      </w:r>
      <w:r w:rsidR="00A34C9E">
        <w:t>“</w:t>
      </w:r>
      <w:r w:rsidRPr="003E7FFC">
        <w:t>Terminated Transaction</w:t>
      </w:r>
      <w:r w:rsidR="00A34C9E">
        <w:t>”</w:t>
      </w:r>
      <w:r w:rsidRPr="003E7FFC">
        <w:t>) between the Parties, (ii) withhold any payments due to the Defaulting Party under this Agreement and (iii) suspend performance</w:t>
      </w:r>
      <w:r w:rsidR="002B35C9">
        <w:t xml:space="preserve">.  </w:t>
      </w:r>
      <w:r w:rsidRPr="003E7FFC">
        <w:t>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rsidR="007130CD" w:rsidRPr="003E7FFC" w:rsidRDefault="007130CD" w:rsidP="005B0905">
      <w:pPr>
        <w:pStyle w:val="Heading2"/>
        <w:tabs>
          <w:tab w:val="clear" w:pos="921"/>
          <w:tab w:val="num" w:pos="1440"/>
        </w:tabs>
      </w:pPr>
      <w:r w:rsidRPr="003E7FFC">
        <w:rPr>
          <w:u w:val="single"/>
        </w:rPr>
        <w:t>Net Out of Settlement Amounts</w:t>
      </w:r>
      <w:r w:rsidR="0005163E" w:rsidRPr="004D0B8E">
        <w:rPr>
          <w:u w:val="single"/>
        </w:rPr>
        <w:fldChar w:fldCharType="begin"/>
      </w:r>
      <w:r w:rsidRPr="003E7FFC">
        <w:instrText xml:space="preserve"> TC </w:instrText>
      </w:r>
      <w:r w:rsidR="00A34C9E">
        <w:instrText>“</w:instrText>
      </w:r>
      <w:bookmarkStart w:id="28" w:name="_Toc64375686"/>
      <w:r w:rsidRPr="003E7FFC">
        <w:instrText>5.3</w:instrText>
      </w:r>
      <w:r w:rsidRPr="003E7FFC">
        <w:tab/>
        <w:instrText>Net Out of Settlement Amounts</w:instrText>
      </w:r>
      <w:bookmarkEnd w:id="28"/>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w:t>
      </w:r>
      <w:r w:rsidR="00A34C9E">
        <w:t>“</w:t>
      </w:r>
      <w:r w:rsidRPr="003E7FFC">
        <w:t>Termination Payment</w:t>
      </w:r>
      <w:r w:rsidR="00A34C9E">
        <w:t>”</w:t>
      </w:r>
      <w:r w:rsidRPr="003E7FFC">
        <w:t>) payable by one Party to the other</w:t>
      </w:r>
      <w:r w:rsidR="002B35C9">
        <w:t xml:space="preserve">.  </w:t>
      </w:r>
      <w:r w:rsidRPr="003E7FFC">
        <w:t>The Termination Payment shall be due to or due from the Non-Defaulting Party as appropriate.</w:t>
      </w:r>
    </w:p>
    <w:p w:rsidR="007130CD" w:rsidRPr="003E7FFC" w:rsidRDefault="007130CD" w:rsidP="005B0905">
      <w:pPr>
        <w:pStyle w:val="Heading2"/>
        <w:tabs>
          <w:tab w:val="clear" w:pos="921"/>
          <w:tab w:val="num" w:pos="1440"/>
        </w:tabs>
      </w:pPr>
      <w:r w:rsidRPr="003E7FFC">
        <w:rPr>
          <w:u w:val="single"/>
        </w:rPr>
        <w:t>Notice of Payment of Termination Payment</w:t>
      </w:r>
      <w:r w:rsidR="0005163E" w:rsidRPr="004D0B8E">
        <w:rPr>
          <w:u w:val="single"/>
        </w:rPr>
        <w:fldChar w:fldCharType="begin"/>
      </w:r>
      <w:r w:rsidRPr="003E7FFC">
        <w:instrText xml:space="preserve"> TC </w:instrText>
      </w:r>
      <w:r w:rsidR="00A34C9E">
        <w:instrText>“</w:instrText>
      </w:r>
      <w:bookmarkStart w:id="29" w:name="_Toc64375687"/>
      <w:r w:rsidRPr="003E7FFC">
        <w:instrText>5.4</w:instrText>
      </w:r>
      <w:r w:rsidRPr="003E7FFC">
        <w:tab/>
        <w:instrText>Notice of Payment of Termination Payment</w:instrText>
      </w:r>
      <w:bookmarkEnd w:id="29"/>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As soon as practicable after a liquidation, notice shall be given by the Non-Defaulting Party to the Defaulting Party of the amount of the Termination Payment and whether the Termination Payment is due to or due from the Non-Defaulting Party</w:t>
      </w:r>
      <w:r w:rsidR="002B35C9">
        <w:t xml:space="preserve">.  </w:t>
      </w:r>
      <w:r w:rsidRPr="003E7FFC">
        <w:t>The notice shall include a written statement explaining in reasonable detail the calculation of such amount</w:t>
      </w:r>
      <w:r w:rsidR="002B35C9">
        <w:t xml:space="preserve">.  </w:t>
      </w:r>
      <w:r w:rsidRPr="003E7FFC">
        <w:t>The Termination Payment shall be made by the Party that owes it within two (2) Business Days after such notice is effective.</w:t>
      </w:r>
    </w:p>
    <w:p w:rsidR="007130CD" w:rsidRPr="003E7FFC" w:rsidRDefault="007130CD" w:rsidP="005B0905">
      <w:pPr>
        <w:pStyle w:val="Heading2"/>
        <w:tabs>
          <w:tab w:val="clear" w:pos="921"/>
          <w:tab w:val="num" w:pos="1440"/>
        </w:tabs>
      </w:pPr>
      <w:r w:rsidRPr="003E7FFC">
        <w:rPr>
          <w:u w:val="single"/>
        </w:rPr>
        <w:t xml:space="preserve">Disputes </w:t>
      </w:r>
      <w:proofErr w:type="gramStart"/>
      <w:r w:rsidRPr="003E7FFC">
        <w:rPr>
          <w:u w:val="single"/>
        </w:rPr>
        <w:t>With</w:t>
      </w:r>
      <w:proofErr w:type="gramEnd"/>
      <w:r w:rsidRPr="003E7FFC">
        <w:rPr>
          <w:u w:val="single"/>
        </w:rPr>
        <w:t xml:space="preserve"> Respect to Termination Payment</w:t>
      </w:r>
      <w:r w:rsidR="0005163E" w:rsidRPr="004D0B8E">
        <w:rPr>
          <w:u w:val="single"/>
        </w:rPr>
        <w:fldChar w:fldCharType="begin"/>
      </w:r>
      <w:r w:rsidRPr="003E7FFC">
        <w:instrText xml:space="preserve"> TC </w:instrText>
      </w:r>
      <w:r w:rsidR="00A34C9E">
        <w:instrText>“</w:instrText>
      </w:r>
      <w:bookmarkStart w:id="30" w:name="_Toc64375688"/>
      <w:r w:rsidRPr="003E7FFC">
        <w:instrText>5.5</w:instrText>
      </w:r>
      <w:r w:rsidRPr="003E7FFC">
        <w:tab/>
        <w:instrText>Disputes With Respect to Termination Payment</w:instrText>
      </w:r>
      <w:bookmarkEnd w:id="30"/>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If the Defaulting Party disputes the Non-Defaulting Party</w:t>
      </w:r>
      <w:r w:rsidR="00A34C9E">
        <w:t>’</w:t>
      </w:r>
      <w:r w:rsidRPr="003E7FFC">
        <w:t>s calculation of the Termination Payment, in whole or in part, the Defaulting Party shall, within two (2) Business Days of receipt of Non-Defaulting Party</w:t>
      </w:r>
      <w:r w:rsidR="00A34C9E">
        <w:t>’</w:t>
      </w:r>
      <w:r w:rsidRPr="003E7FFC">
        <w:t>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w:t>
      </w:r>
      <w:r w:rsidR="002B35C9">
        <w:t xml:space="preserve">.  </w:t>
      </w:r>
    </w:p>
    <w:p w:rsidR="007130CD" w:rsidRPr="003E7FFC" w:rsidRDefault="007130CD" w:rsidP="005B0905">
      <w:pPr>
        <w:pStyle w:val="Heading2"/>
        <w:keepNext/>
        <w:tabs>
          <w:tab w:val="clear" w:pos="921"/>
          <w:tab w:val="num" w:pos="1440"/>
        </w:tabs>
      </w:pPr>
      <w:r w:rsidRPr="003E7FFC">
        <w:rPr>
          <w:u w:val="single"/>
        </w:rPr>
        <w:t>Closeout Setoffs</w:t>
      </w:r>
      <w:r w:rsidR="0005163E" w:rsidRPr="004D0B8E">
        <w:rPr>
          <w:u w:val="single"/>
        </w:rPr>
        <w:fldChar w:fldCharType="begin"/>
      </w:r>
      <w:r w:rsidRPr="003E7FFC">
        <w:instrText xml:space="preserve"> TC </w:instrText>
      </w:r>
      <w:r w:rsidR="00A34C9E">
        <w:instrText>“</w:instrText>
      </w:r>
      <w:bookmarkStart w:id="31" w:name="_Toc64375689"/>
      <w:r w:rsidRPr="003E7FFC">
        <w:instrText>5.6</w:instrText>
      </w:r>
      <w:r w:rsidRPr="003E7FFC">
        <w:tab/>
        <w:instrText>Closeout Setoffs</w:instrText>
      </w:r>
      <w:bookmarkEnd w:id="31"/>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p>
    <w:p w:rsidR="007130CD" w:rsidRPr="003E7FFC" w:rsidRDefault="007130CD">
      <w:pPr>
        <w:pStyle w:val="BodyTextFirstIndent"/>
      </w:pPr>
      <w:r w:rsidRPr="003E7FFC">
        <w:t>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w:t>
      </w:r>
      <w:r w:rsidR="002B35C9">
        <w:t xml:space="preserve">.  </w:t>
      </w:r>
      <w:r w:rsidRPr="003E7FFC">
        <w:t xml:space="preserve">The remedy </w:t>
      </w:r>
      <w:r w:rsidRPr="003E7FFC">
        <w:lastRenderedPageBreak/>
        <w:t>provided for in this Section shall be without prejudice and in addition to any right of setoff, combination of accounts, lien or other right to which any Party is at any time otherwise entitled (whether by operation of law, contract or otherwise)</w:t>
      </w:r>
      <w:r w:rsidR="002B35C9">
        <w:t xml:space="preserve">.  </w:t>
      </w:r>
    </w:p>
    <w:p w:rsidR="007130CD" w:rsidRPr="003E7FFC" w:rsidRDefault="007130CD">
      <w:pPr>
        <w:pStyle w:val="BodyTextFirstIndent"/>
      </w:pPr>
      <w:r w:rsidRPr="003E7FFC">
        <w:t>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w:t>
      </w:r>
      <w:r w:rsidR="002B35C9">
        <w:t xml:space="preserve">.  </w:t>
      </w:r>
      <w:r w:rsidRPr="003E7FFC">
        <w:t>The remedy provided for in this Section shall be without prejudice and in addition to any right of setoff, combination of accounts, lien or other right to which any Party is at any time otherwise entitled (whether by operation of law, contract or otherwise)</w:t>
      </w:r>
      <w:r w:rsidR="002B35C9">
        <w:t xml:space="preserve">.  </w:t>
      </w:r>
    </w:p>
    <w:p w:rsidR="007130CD" w:rsidRPr="003E7FFC" w:rsidRDefault="007130CD">
      <w:pPr>
        <w:pStyle w:val="BodyTextFirstIndent"/>
      </w:pPr>
      <w:r w:rsidRPr="003E7FFC">
        <w:t>Option C:  Neither Option A nor B shall apply.</w:t>
      </w:r>
    </w:p>
    <w:p w:rsidR="007130CD" w:rsidRPr="003E7FFC" w:rsidRDefault="007130CD" w:rsidP="005B0905">
      <w:pPr>
        <w:pStyle w:val="Heading2"/>
        <w:tabs>
          <w:tab w:val="clear" w:pos="921"/>
          <w:tab w:val="num" w:pos="1440"/>
        </w:tabs>
      </w:pPr>
      <w:r w:rsidRPr="003E7FFC">
        <w:rPr>
          <w:u w:val="single"/>
        </w:rPr>
        <w:t>Suspension of Performance</w:t>
      </w:r>
      <w:r w:rsidR="0005163E" w:rsidRPr="004D0B8E">
        <w:rPr>
          <w:u w:val="single"/>
        </w:rPr>
        <w:fldChar w:fldCharType="begin"/>
      </w:r>
      <w:r w:rsidRPr="003E7FFC">
        <w:instrText xml:space="preserve"> TC </w:instrText>
      </w:r>
      <w:r w:rsidR="00A34C9E">
        <w:instrText>“</w:instrText>
      </w:r>
      <w:bookmarkStart w:id="32" w:name="_Toc64375690"/>
      <w:r w:rsidRPr="003E7FFC">
        <w:instrText>5.7</w:instrText>
      </w:r>
      <w:r w:rsidRPr="003E7FFC">
        <w:tab/>
        <w:instrText>Suspension of Performance</w:instrText>
      </w:r>
      <w:bookmarkEnd w:id="32"/>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w:t>
      </w:r>
      <w:r w:rsidR="002B35C9">
        <w:t xml:space="preserve">.  </w:t>
      </w:r>
    </w:p>
    <w:p w:rsidR="007130CD" w:rsidRPr="003E7FFC" w:rsidRDefault="007130CD">
      <w:pPr>
        <w:pStyle w:val="Heading1"/>
      </w:pPr>
      <w:r w:rsidRPr="003E7FFC">
        <w:t>PAYMENT AND NETTING</w:t>
      </w:r>
      <w:r w:rsidR="0005163E" w:rsidRPr="004D0B8E">
        <w:fldChar w:fldCharType="begin"/>
      </w:r>
      <w:r w:rsidRPr="003E7FFC">
        <w:instrText xml:space="preserve"> TC </w:instrText>
      </w:r>
      <w:r w:rsidR="00A34C9E">
        <w:instrText>“</w:instrText>
      </w:r>
      <w:bookmarkStart w:id="33" w:name="_Toc64375691"/>
      <w:r w:rsidRPr="003E7FFC">
        <w:instrText>ARTICLE SIX:</w:instrText>
      </w:r>
      <w:r w:rsidRPr="003E7FFC">
        <w:tab/>
        <w:instrText>PAYMENT AND NETTING</w:instrText>
      </w:r>
      <w:bookmarkEnd w:id="33"/>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rsidR="007130CD" w:rsidRPr="003E7FFC" w:rsidRDefault="007130CD" w:rsidP="005B0905">
      <w:pPr>
        <w:pStyle w:val="Heading2"/>
        <w:tabs>
          <w:tab w:val="clear" w:pos="921"/>
          <w:tab w:val="num" w:pos="1440"/>
        </w:tabs>
      </w:pPr>
      <w:r w:rsidRPr="003E7FFC">
        <w:rPr>
          <w:u w:val="single"/>
        </w:rPr>
        <w:t>Billing Period</w:t>
      </w:r>
      <w:r w:rsidR="0005163E" w:rsidRPr="004D0B8E">
        <w:rPr>
          <w:u w:val="single"/>
        </w:rPr>
        <w:fldChar w:fldCharType="begin"/>
      </w:r>
      <w:r w:rsidRPr="003E7FFC">
        <w:instrText xml:space="preserve"> TC </w:instrText>
      </w:r>
      <w:r w:rsidR="00A34C9E">
        <w:instrText>“</w:instrText>
      </w:r>
      <w:bookmarkStart w:id="34" w:name="_Toc64375692"/>
      <w:r w:rsidRPr="003E7FFC">
        <w:instrText>6.1</w:instrText>
      </w:r>
      <w:r w:rsidRPr="003E7FFC">
        <w:tab/>
        <w:instrText>Billing Period</w:instrText>
      </w:r>
      <w:bookmarkEnd w:id="34"/>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Unless otherwise specifically agreed upon by the Parties in a Transaction, the calendar month shall be the standard period for all payments under this Agreement (other than Termination Payments and, if </w:t>
      </w:r>
      <w:r w:rsidR="00A34C9E">
        <w:t>“</w:t>
      </w:r>
      <w:r w:rsidRPr="003E7FFC">
        <w:t>Accelerated Payment of Damages</w:t>
      </w:r>
      <w:r w:rsidR="00A34C9E">
        <w:t>”</w:t>
      </w:r>
      <w:r w:rsidRPr="003E7FFC">
        <w:t xml:space="preserve"> is specified by the Parties in the Cover Sheet, payments pursuant to Section 4.1 or 4.2 and Option premium payments pursuant to Section 6.7)</w:t>
      </w:r>
      <w:r w:rsidR="002B35C9">
        <w:t xml:space="preserve">.  </w:t>
      </w:r>
      <w:r w:rsidRPr="003E7FFC">
        <w:t>As soon as practicable after the end of each month, each Party will render to the other Party an invoice for the payment obligations, if any, incurred hereunder during the preceding month.</w:t>
      </w:r>
    </w:p>
    <w:p w:rsidR="007130CD" w:rsidRPr="003E7FFC" w:rsidRDefault="007130CD" w:rsidP="005B0905">
      <w:pPr>
        <w:pStyle w:val="Heading2"/>
        <w:tabs>
          <w:tab w:val="clear" w:pos="921"/>
          <w:tab w:val="num" w:pos="1440"/>
        </w:tabs>
      </w:pPr>
      <w:r w:rsidRPr="003E7FFC">
        <w:rPr>
          <w:u w:val="single"/>
        </w:rPr>
        <w:t>Timeliness of Payment</w:t>
      </w:r>
      <w:r w:rsidR="0005163E" w:rsidRPr="004D0B8E">
        <w:rPr>
          <w:u w:val="single"/>
        </w:rPr>
        <w:fldChar w:fldCharType="begin"/>
      </w:r>
      <w:r w:rsidRPr="003E7FFC">
        <w:instrText xml:space="preserve"> TC </w:instrText>
      </w:r>
      <w:r w:rsidR="00A34C9E">
        <w:instrText>“</w:instrText>
      </w:r>
      <w:bookmarkStart w:id="35" w:name="_Toc64375693"/>
      <w:r w:rsidRPr="003E7FFC">
        <w:instrText>6.2</w:instrText>
      </w:r>
      <w:r w:rsidRPr="003E7FFC">
        <w:tab/>
        <w:instrText>Timeliness of Payment</w:instrText>
      </w:r>
      <w:bookmarkEnd w:id="35"/>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Unless otherwise agreed by the Parties in a Transaction, all invoices under this Master Agreement shall be due and payable in accordance with each Party</w:t>
      </w:r>
      <w:r w:rsidR="00A34C9E">
        <w:t>’</w:t>
      </w:r>
      <w:r w:rsidRPr="003E7FFC">
        <w:t>s invoice instructions on or before the later of the twentieth (20th) day of each month, or tenth (10th) day after receipt of the invoice or, if such day is not a Business Day, then on the next Business Day</w:t>
      </w:r>
      <w:r w:rsidR="002B35C9">
        <w:t xml:space="preserve">.  </w:t>
      </w:r>
      <w:r w:rsidRPr="003E7FFC">
        <w:t>Each Party will make payments by electronic funds transfer, or by other mutually agreeable method(s), to the account designated by the other Party</w:t>
      </w:r>
      <w:r w:rsidR="002B35C9">
        <w:t xml:space="preserve">.  </w:t>
      </w:r>
      <w:r w:rsidRPr="003E7FFC">
        <w:t>Any amounts not paid by the due date will be deemed delinquent and will accrue interest at the Interest Rate, such interest to be calculated from and including the due date to but excluding the date the delinquent amount is paid in full.</w:t>
      </w:r>
    </w:p>
    <w:p w:rsidR="007130CD" w:rsidRPr="003E7FFC" w:rsidRDefault="007130CD" w:rsidP="005B0905">
      <w:pPr>
        <w:pStyle w:val="Heading2"/>
        <w:tabs>
          <w:tab w:val="clear" w:pos="921"/>
          <w:tab w:val="num" w:pos="1440"/>
        </w:tabs>
      </w:pPr>
      <w:r w:rsidRPr="003E7FFC">
        <w:rPr>
          <w:u w:val="single"/>
        </w:rPr>
        <w:lastRenderedPageBreak/>
        <w:t>Disputes and Adjustments of Invoices</w:t>
      </w:r>
      <w:r w:rsidR="0005163E" w:rsidRPr="004D0B8E">
        <w:rPr>
          <w:u w:val="single"/>
        </w:rPr>
        <w:fldChar w:fldCharType="begin"/>
      </w:r>
      <w:r w:rsidRPr="003E7FFC">
        <w:instrText xml:space="preserve"> TC </w:instrText>
      </w:r>
      <w:r w:rsidR="00A34C9E">
        <w:instrText>“</w:instrText>
      </w:r>
      <w:bookmarkStart w:id="36" w:name="_Toc64375694"/>
      <w:r w:rsidRPr="003E7FFC">
        <w:instrText>6.3</w:instrText>
      </w:r>
      <w:r w:rsidRPr="003E7FFC">
        <w:tab/>
        <w:instrText>Disputes and Adjustments of Invoices</w:instrText>
      </w:r>
      <w:bookmarkEnd w:id="36"/>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A Party may, in good faith, dispute the correctness of any invoice or any adjustment to an invoice, rendered under this Agreement or adjust any invoice for any arithmetic or computational error within twelve (12) months of the date the invoice, or adjustment to an invoice, was rendered</w:t>
      </w:r>
      <w:r w:rsidR="002B35C9">
        <w:t xml:space="preserve">.  </w:t>
      </w:r>
      <w:r w:rsidRPr="003E7FFC">
        <w:t>In the event an invoice or portion thereof, or any other claim or adjustment arising hereunder, is disputed, payment of the undisputed portion of the invoice shall be required to be made when due, with notice of the objection given to the other Party</w:t>
      </w:r>
      <w:r w:rsidR="002B35C9">
        <w:t xml:space="preserve">.  </w:t>
      </w:r>
      <w:r w:rsidRPr="003E7FFC">
        <w:t>Any invoice dispute or invoice adjustment shall be in writing and shall state the basis for the dispute or adjustment</w:t>
      </w:r>
      <w:r w:rsidR="002B35C9">
        <w:t xml:space="preserve">.  </w:t>
      </w:r>
      <w:r w:rsidRPr="003E7FFC">
        <w:t>Payment of the disputed amount shall not be required until the dispute is resolved</w:t>
      </w:r>
      <w:r w:rsidR="002B35C9">
        <w:t xml:space="preserve">.  </w:t>
      </w:r>
      <w:r w:rsidRPr="003E7FFC">
        <w:t>Upon resolution of the dispute, any required payment shall be made within two (2) Business Days of such resolution along with interest accrued at the Interest Rate from and including the due date to but excluding the date paid</w:t>
      </w:r>
      <w:r w:rsidR="002B35C9">
        <w:t xml:space="preserve">.  </w:t>
      </w:r>
      <w:r w:rsidRPr="003E7FFC">
        <w:t>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w:t>
      </w:r>
      <w:r w:rsidR="002B35C9">
        <w:t xml:space="preserve">.  </w:t>
      </w:r>
      <w:r w:rsidRPr="003E7FFC">
        <w:t>Any dispute with respect to an invoice is waived unless the other Party is notified in accordance with this Section 6.3 within twelve (12) months after the invoice is rendered or any specific adjustment to the invoice is made</w:t>
      </w:r>
      <w:r w:rsidR="002B35C9">
        <w:t xml:space="preserve">.  </w:t>
      </w:r>
      <w:r w:rsidRPr="003E7FFC">
        <w:t>If an invoice is not rendered within twelve (12) months after the close of the month during which performance of a Transaction occurred, the right to payment for such performance is waived.</w:t>
      </w:r>
    </w:p>
    <w:p w:rsidR="007130CD" w:rsidRPr="003E7FFC" w:rsidRDefault="007130CD" w:rsidP="005B0905">
      <w:pPr>
        <w:pStyle w:val="Heading2"/>
        <w:tabs>
          <w:tab w:val="clear" w:pos="921"/>
          <w:tab w:val="num" w:pos="1440"/>
        </w:tabs>
      </w:pPr>
      <w:r w:rsidRPr="003E7FFC">
        <w:rPr>
          <w:u w:val="single"/>
        </w:rPr>
        <w:t>Netting of Payments</w:t>
      </w:r>
      <w:r w:rsidR="0005163E" w:rsidRPr="004D0B8E">
        <w:rPr>
          <w:u w:val="single"/>
        </w:rPr>
        <w:fldChar w:fldCharType="begin"/>
      </w:r>
      <w:r w:rsidRPr="003E7FFC">
        <w:instrText xml:space="preserve"> TC </w:instrText>
      </w:r>
      <w:r w:rsidR="00A34C9E">
        <w:instrText>“</w:instrText>
      </w:r>
      <w:bookmarkStart w:id="37" w:name="_Toc64375695"/>
      <w:r w:rsidRPr="003E7FFC">
        <w:instrText>6.4</w:instrText>
      </w:r>
      <w:r w:rsidRPr="003E7FFC">
        <w:tab/>
        <w:instrText>Netting of Payments</w:instrText>
      </w:r>
      <w:bookmarkEnd w:id="37"/>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w:t>
      </w:r>
      <w:r w:rsidR="002B35C9">
        <w:t xml:space="preserve">.  </w:t>
      </w:r>
    </w:p>
    <w:p w:rsidR="007130CD" w:rsidRPr="003E7FFC" w:rsidRDefault="007130CD" w:rsidP="005B0905">
      <w:pPr>
        <w:pStyle w:val="Heading2"/>
        <w:tabs>
          <w:tab w:val="clear" w:pos="921"/>
          <w:tab w:val="num" w:pos="1440"/>
        </w:tabs>
      </w:pPr>
      <w:r w:rsidRPr="003E7FFC">
        <w:rPr>
          <w:u w:val="single"/>
        </w:rPr>
        <w:t>Payment Obligation Absent Netting</w:t>
      </w:r>
      <w:r w:rsidR="0005163E" w:rsidRPr="004D0B8E">
        <w:rPr>
          <w:u w:val="single"/>
        </w:rPr>
        <w:fldChar w:fldCharType="begin"/>
      </w:r>
      <w:r w:rsidRPr="003E7FFC">
        <w:instrText xml:space="preserve"> TC </w:instrText>
      </w:r>
      <w:r w:rsidR="00A34C9E">
        <w:instrText>“</w:instrText>
      </w:r>
      <w:bookmarkStart w:id="38" w:name="_Toc64375696"/>
      <w:r w:rsidRPr="003E7FFC">
        <w:instrText>6.5</w:instrText>
      </w:r>
      <w:r w:rsidRPr="003E7FFC">
        <w:tab/>
        <w:instrText>Payment Obligation Absent Netting</w:instrText>
      </w:r>
      <w:bookmarkEnd w:id="38"/>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w:t>
      </w:r>
      <w:r w:rsidR="002B35C9">
        <w:t xml:space="preserve">.  </w:t>
      </w:r>
    </w:p>
    <w:p w:rsidR="007130CD" w:rsidRPr="003E7FFC" w:rsidRDefault="007130CD" w:rsidP="005B0905">
      <w:pPr>
        <w:pStyle w:val="Heading2"/>
        <w:tabs>
          <w:tab w:val="clear" w:pos="921"/>
          <w:tab w:val="num" w:pos="1440"/>
        </w:tabs>
      </w:pPr>
      <w:r w:rsidRPr="003E7FFC">
        <w:rPr>
          <w:u w:val="single"/>
        </w:rPr>
        <w:t>Security</w:t>
      </w:r>
      <w:r w:rsidR="0005163E" w:rsidRPr="004D0B8E">
        <w:rPr>
          <w:u w:val="single"/>
        </w:rPr>
        <w:fldChar w:fldCharType="begin"/>
      </w:r>
      <w:r w:rsidRPr="003E7FFC">
        <w:instrText xml:space="preserve"> TC </w:instrText>
      </w:r>
      <w:r w:rsidR="00A34C9E">
        <w:instrText>“</w:instrText>
      </w:r>
      <w:bookmarkStart w:id="39" w:name="_Toc64375697"/>
      <w:r w:rsidRPr="003E7FFC">
        <w:instrText>6.6</w:instrText>
      </w:r>
      <w:r w:rsidRPr="003E7FFC">
        <w:tab/>
        <w:instrText>Security</w:instrText>
      </w:r>
      <w:bookmarkEnd w:id="39"/>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w:t>
      </w:r>
      <w:r w:rsidR="00A34C9E">
        <w:t>’</w:t>
      </w:r>
      <w:r w:rsidRPr="003E7FFC">
        <w:t>s performance under this Agreement.</w:t>
      </w:r>
    </w:p>
    <w:p w:rsidR="007130CD" w:rsidRPr="003E7FFC" w:rsidRDefault="007130CD" w:rsidP="005B0905">
      <w:pPr>
        <w:pStyle w:val="Heading2"/>
        <w:tabs>
          <w:tab w:val="clear" w:pos="921"/>
          <w:tab w:val="num" w:pos="1440"/>
        </w:tabs>
      </w:pPr>
      <w:r w:rsidRPr="003E7FFC">
        <w:rPr>
          <w:u w:val="single"/>
        </w:rPr>
        <w:t>Payment for Options</w:t>
      </w:r>
      <w:r w:rsidR="0005163E" w:rsidRPr="004D0B8E">
        <w:rPr>
          <w:u w:val="single"/>
        </w:rPr>
        <w:fldChar w:fldCharType="begin"/>
      </w:r>
      <w:r w:rsidRPr="003E7FFC">
        <w:instrText xml:space="preserve"> TC </w:instrText>
      </w:r>
      <w:r w:rsidR="00A34C9E">
        <w:instrText>“</w:instrText>
      </w:r>
      <w:bookmarkStart w:id="40" w:name="_Toc64375698"/>
      <w:r w:rsidRPr="003E7FFC">
        <w:instrText>6.7</w:instrText>
      </w:r>
      <w:r w:rsidRPr="003E7FFC">
        <w:tab/>
        <w:instrText>Payment for Options</w:instrText>
      </w:r>
      <w:bookmarkEnd w:id="40"/>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The premium amount for the purchase of an Option shall be paid within two (2) Business Days of receipt of an invoice from the Option Seller</w:t>
      </w:r>
      <w:r w:rsidR="002B35C9">
        <w:t xml:space="preserve">.  </w:t>
      </w:r>
      <w:r w:rsidRPr="003E7FFC">
        <w:t>Upon exercise of an Option, payment for the Product underlying such Option shall be due in accordance with Section 6.1.</w:t>
      </w:r>
    </w:p>
    <w:p w:rsidR="007130CD" w:rsidRPr="003E7FFC" w:rsidRDefault="007130CD" w:rsidP="005B0905">
      <w:pPr>
        <w:pStyle w:val="Heading2"/>
        <w:tabs>
          <w:tab w:val="clear" w:pos="921"/>
          <w:tab w:val="num" w:pos="1440"/>
        </w:tabs>
      </w:pPr>
      <w:r w:rsidRPr="003E7FFC">
        <w:rPr>
          <w:u w:val="single"/>
        </w:rPr>
        <w:t>Transaction Netting</w:t>
      </w:r>
      <w:r w:rsidR="0005163E" w:rsidRPr="004D0B8E">
        <w:rPr>
          <w:u w:val="single"/>
        </w:rPr>
        <w:fldChar w:fldCharType="begin"/>
      </w:r>
      <w:r w:rsidRPr="003E7FFC">
        <w:instrText xml:space="preserve"> TC </w:instrText>
      </w:r>
      <w:r w:rsidR="00A34C9E">
        <w:instrText>“</w:instrText>
      </w:r>
      <w:bookmarkStart w:id="41" w:name="_Toc64375699"/>
      <w:r w:rsidRPr="003E7FFC">
        <w:instrText>6.8</w:instrText>
      </w:r>
      <w:r w:rsidRPr="003E7FFC">
        <w:tab/>
        <w:instrText>Transaction Netting</w:instrText>
      </w:r>
      <w:bookmarkEnd w:id="41"/>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If the Parties </w:t>
      </w:r>
      <w:proofErr w:type="gramStart"/>
      <w:r w:rsidRPr="003E7FFC">
        <w:t>enter into</w:t>
      </w:r>
      <w:proofErr w:type="gramEnd"/>
      <w:r w:rsidRPr="003E7FFC">
        <w:t xml:space="preserve"> one or more Transactions, which in conjunction with one or more other outstanding Transactions, constitute Offsetting Transactions, </w:t>
      </w:r>
      <w:r w:rsidRPr="003E7FFC">
        <w:lastRenderedPageBreak/>
        <w:t>then all such Offsetting Transactions may by agreement of the Parties, be netted into a single Transaction under which:</w:t>
      </w:r>
    </w:p>
    <w:p w:rsidR="007130CD" w:rsidRPr="003E7FFC" w:rsidRDefault="007130CD">
      <w:pPr>
        <w:pStyle w:val="Heading3"/>
        <w:tabs>
          <w:tab w:val="clear" w:pos="2160"/>
        </w:tabs>
      </w:pPr>
      <w:r w:rsidRPr="003E7FFC">
        <w:t>the Party obligated to deliver the greater amount of Energy will deliver the difference between the total amount it is obligated to deliver and the total amount to be delivered to it under the Offsetting Transactions, and</w:t>
      </w:r>
    </w:p>
    <w:p w:rsidR="007130CD" w:rsidRPr="003E7FFC" w:rsidRDefault="007130CD">
      <w:pPr>
        <w:pStyle w:val="Heading3"/>
        <w:tabs>
          <w:tab w:val="clear" w:pos="2160"/>
        </w:tabs>
      </w:pPr>
      <w:r w:rsidRPr="003E7FFC">
        <w:t>the Party owing the greater aggregate payment will pay the net difference owed between the Parties.</w:t>
      </w:r>
    </w:p>
    <w:p w:rsidR="007130CD" w:rsidRPr="003E7FFC" w:rsidRDefault="007130CD">
      <w:pPr>
        <w:pStyle w:val="BlockText"/>
      </w:pPr>
      <w:r w:rsidRPr="003E7FFC">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rsidR="007130CD" w:rsidRPr="003E7FFC" w:rsidRDefault="007130CD">
      <w:pPr>
        <w:pStyle w:val="Heading1"/>
      </w:pPr>
      <w:r w:rsidRPr="003E7FFC">
        <w:t>LIMITATIONS</w:t>
      </w:r>
      <w:r w:rsidR="0005163E" w:rsidRPr="004D0B8E">
        <w:fldChar w:fldCharType="begin"/>
      </w:r>
      <w:r w:rsidRPr="003E7FFC">
        <w:instrText xml:space="preserve"> TC </w:instrText>
      </w:r>
      <w:r w:rsidR="00A34C9E">
        <w:instrText>“</w:instrText>
      </w:r>
      <w:bookmarkStart w:id="42" w:name="_Toc64375700"/>
      <w:r w:rsidRPr="003E7FFC">
        <w:instrText>ARTICLE SEVEN:</w:instrText>
      </w:r>
      <w:r w:rsidRPr="003E7FFC">
        <w:tab/>
        <w:instrText>LIMITATIONS</w:instrText>
      </w:r>
      <w:bookmarkEnd w:id="42"/>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rsidR="007130CD" w:rsidRPr="003E7FFC" w:rsidRDefault="007130CD" w:rsidP="005B0905">
      <w:pPr>
        <w:pStyle w:val="Heading2"/>
        <w:tabs>
          <w:tab w:val="clear" w:pos="921"/>
          <w:tab w:val="num" w:pos="1440"/>
        </w:tabs>
      </w:pPr>
      <w:r w:rsidRPr="003E7FFC">
        <w:rPr>
          <w:u w:val="single"/>
        </w:rPr>
        <w:t>Limitation of Remedies, Liability and Damages</w:t>
      </w:r>
      <w:r w:rsidR="0005163E" w:rsidRPr="004D0B8E">
        <w:rPr>
          <w:u w:val="single"/>
        </w:rPr>
        <w:fldChar w:fldCharType="begin"/>
      </w:r>
      <w:r w:rsidRPr="003E7FFC">
        <w:instrText xml:space="preserve"> TC </w:instrText>
      </w:r>
      <w:r w:rsidR="00A34C9E">
        <w:instrText>“</w:instrText>
      </w:r>
      <w:bookmarkStart w:id="43" w:name="_Toc64375701"/>
      <w:r w:rsidRPr="003E7FFC">
        <w:instrText>7.1</w:instrText>
      </w:r>
      <w:r w:rsidRPr="003E7FFC">
        <w:tab/>
        <w:instrText>Limitation of Remedies, Liability and Damages</w:instrText>
      </w:r>
      <w:bookmarkEnd w:id="43"/>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EXCEPT AS SET FORTH HEREIN, THERE IS NO WARRANTY OF MERCHANTABILITY OR FITNESS FOR A PARTICULAR PURPOSE, AND ANY AND ALL IMPLIED WARRANTIES ARE DISCLAIMED</w:t>
      </w:r>
      <w:r w:rsidR="002B35C9">
        <w:t xml:space="preserve">.  </w:t>
      </w:r>
      <w:r w:rsidRPr="003E7FFC">
        <w:t>THE PARTIES CONFIRM THAT THE EXPRESS REMEDIES AND MEASURES OF DAMAGES PROVIDED IN THIS AGREEMENT SATISFY THE ESSENTIAL PURPOSES HEREOF</w:t>
      </w:r>
      <w:r w:rsidR="002B35C9">
        <w:t xml:space="preserve">.  </w:t>
      </w:r>
      <w:r w:rsidRPr="003E7FFC">
        <w:t>FOR BREACH OF ANY PROVISION FOR WHICH AN EXPRESS REMEDY OR MEASURE OF DAMAGES IS PROVIDED, SUCH EXPRESS REMEDY OR MEASURE OF DAMAGES SHALL BE THE SOLE AND EXCLUSIVE REMEDY, THE OBLIGOR</w:t>
      </w:r>
      <w:r w:rsidR="00A34C9E">
        <w:t>’</w:t>
      </w:r>
      <w:r w:rsidRPr="003E7FFC">
        <w:t>S LIABILITY SHALL BE LIMITED AS SET FORTH IN SUCH PROVISION AND ALL OTHER REMEDIES OR DAMAGES AT LAW OR IN EQUITY ARE WAIVED</w:t>
      </w:r>
      <w:r w:rsidR="002B35C9">
        <w:t xml:space="preserve">.  </w:t>
      </w:r>
      <w:r w:rsidRPr="003E7FFC">
        <w:t>IF NO REMEDY OR MEASURE OF DAMAGES IS EXPRESSLY PROVIDED HEREIN OR IN A TRANSACTION, THE OBLIGOR</w:t>
      </w:r>
      <w:r w:rsidR="00A34C9E">
        <w:t>’</w:t>
      </w:r>
      <w:r w:rsidRPr="003E7FFC">
        <w:t>S LIABILITY SHALL BE LIMITED TO DIRECT ACTUAL DAMAGES ONLY, SUCH DIRECT ACTUAL DAMAGES SHALL BE THE SOLE AND EXCLUSIVE REMEDY AND ALL OTHER REMEDIES OR DAMAGES AT LAW OR IN EQUITY ARE WAIVED</w:t>
      </w:r>
      <w:r w:rsidR="002B35C9">
        <w:t xml:space="preserve">.  </w:t>
      </w:r>
      <w:r w:rsidRPr="003E7FFC">
        <w:t>UNLESS EXPRESSLY HEREIN PROVIDED, NEITHER PARTY SHALL BE LIABLE FOR CONSEQUENTIAL, INCIDENTAL, PUNITIVE, EXEMPLARY OR INDIRECT DAMAGES, LOST PROFITS OR OTHER BUSINESS INTERRUPTION DAMAGES, BY STATUTE, IN TORT OR CONTRACT, UNDER ANY INDEMNITY PROVISION OR OTHERWISE</w:t>
      </w:r>
      <w:r w:rsidR="002B35C9">
        <w:t xml:space="preserve">.  </w:t>
      </w:r>
      <w:r w:rsidRPr="003E7FFC">
        <w:t>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r w:rsidR="002B35C9">
        <w:t xml:space="preserve">.  </w:t>
      </w:r>
      <w:r w:rsidRPr="003E7FFC">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7130CD" w:rsidRPr="003E7FFC" w:rsidRDefault="007130CD">
      <w:pPr>
        <w:pStyle w:val="Heading1"/>
      </w:pPr>
      <w:r w:rsidRPr="003E7FFC">
        <w:lastRenderedPageBreak/>
        <w:t>CREDIT AND COLLATERAL REQUIREMENTS</w:t>
      </w:r>
      <w:r w:rsidR="0005163E" w:rsidRPr="004D0B8E">
        <w:fldChar w:fldCharType="begin"/>
      </w:r>
      <w:r w:rsidRPr="003E7FFC">
        <w:instrText xml:space="preserve"> TC </w:instrText>
      </w:r>
      <w:r w:rsidR="00A34C9E">
        <w:instrText>“</w:instrText>
      </w:r>
      <w:bookmarkStart w:id="44" w:name="_Toc64375702"/>
      <w:r w:rsidRPr="003E7FFC">
        <w:instrText>ARTICLE EIGHT:</w:instrText>
      </w:r>
      <w:r w:rsidRPr="003E7FFC">
        <w:tab/>
        <w:instrText>CREDIT AND COLLATERAL REQUIREMENTS</w:instrText>
      </w:r>
      <w:bookmarkEnd w:id="44"/>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rsidR="007130CD" w:rsidRPr="003E7FFC" w:rsidRDefault="007130CD" w:rsidP="005B0905">
      <w:pPr>
        <w:pStyle w:val="Heading2"/>
        <w:tabs>
          <w:tab w:val="clear" w:pos="921"/>
          <w:tab w:val="num" w:pos="1440"/>
        </w:tabs>
      </w:pPr>
      <w:r w:rsidRPr="003E7FFC">
        <w:rPr>
          <w:u w:val="single"/>
        </w:rPr>
        <w:t>Party A Credit Protection</w:t>
      </w:r>
      <w:r w:rsidR="0005163E" w:rsidRPr="004D0B8E">
        <w:rPr>
          <w:u w:val="single"/>
        </w:rPr>
        <w:fldChar w:fldCharType="begin"/>
      </w:r>
      <w:r w:rsidRPr="003E7FFC">
        <w:instrText xml:space="preserve"> TC </w:instrText>
      </w:r>
      <w:r w:rsidR="00A34C9E">
        <w:instrText>“</w:instrText>
      </w:r>
      <w:bookmarkStart w:id="45" w:name="_Toc64375703"/>
      <w:r w:rsidRPr="003E7FFC">
        <w:instrText>8.1</w:instrText>
      </w:r>
      <w:r w:rsidRPr="003E7FFC">
        <w:tab/>
        <w:instrText>Party A Credit Protection</w:instrText>
      </w:r>
      <w:bookmarkEnd w:id="45"/>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The applicable credit and collateral requirements shall be as specified on the Cover Sheet</w:t>
      </w:r>
      <w:r w:rsidR="002B35C9">
        <w:t xml:space="preserve">.  </w:t>
      </w:r>
      <w:r w:rsidRPr="003E7FFC">
        <w:t>If no option in Section 8.1(a) is specified on the Cover Sheet, Section 8.l(a) Option C shall apply exclusively</w:t>
      </w:r>
      <w:r w:rsidR="002B35C9">
        <w:t xml:space="preserve">.  </w:t>
      </w:r>
      <w:r w:rsidRPr="003E7FFC">
        <w:t>If none of Sections 8.1(b), 8.1(c) or 8.1(d) are specified on the Cover Sheet, Section 8.1(b) shall apply exclusively.</w:t>
      </w:r>
    </w:p>
    <w:p w:rsidR="007130CD" w:rsidRPr="003E7FFC" w:rsidRDefault="007130CD">
      <w:pPr>
        <w:pStyle w:val="Heading3"/>
        <w:tabs>
          <w:tab w:val="clear" w:pos="2160"/>
        </w:tabs>
        <w:ind w:left="0" w:firstLine="1440"/>
      </w:pPr>
      <w:r w:rsidRPr="003E7FFC">
        <w:rPr>
          <w:u w:val="single"/>
        </w:rPr>
        <w:t>Financial Information</w:t>
      </w:r>
      <w:r w:rsidR="002B35C9">
        <w:t xml:space="preserve">.  </w:t>
      </w:r>
      <w:r w:rsidRPr="003E7FFC">
        <w:t>Option A:  If requested by Party A, Party B shall deliver (i) within 120 days following the end of each fiscal year, a copy of Party B</w:t>
      </w:r>
      <w:r w:rsidR="00A34C9E">
        <w:t>’</w:t>
      </w:r>
      <w:r w:rsidRPr="003E7FFC">
        <w:t>s annual report containing audited consolidated financial statements for such fiscal year and (ii) within 60 days after the end of each of its first three fiscal quarters of each fiscal year, a copy of Party B</w:t>
      </w:r>
      <w:r w:rsidR="00A34C9E">
        <w:t>’</w:t>
      </w:r>
      <w:r w:rsidRPr="003E7FFC">
        <w:t>s quarterly report containing unaudited consolidated financial statements for such fiscal quarter</w:t>
      </w:r>
      <w:r w:rsidR="002B35C9">
        <w:t xml:space="preserve">.  </w:t>
      </w:r>
      <w:r w:rsidRPr="003E7FFC">
        <w:t>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rsidR="007130CD" w:rsidRPr="003E7FFC" w:rsidRDefault="007130CD">
      <w:pPr>
        <w:pStyle w:val="BodyTextFirstIndent"/>
      </w:pPr>
      <w:r w:rsidRPr="003E7FFC">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w:t>
      </w:r>
      <w:r w:rsidR="002B35C9">
        <w:t xml:space="preserve">.  </w:t>
      </w:r>
      <w:r w:rsidRPr="003E7FFC">
        <w:t>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rsidR="007130CD" w:rsidRPr="003E7FFC" w:rsidRDefault="007130CD">
      <w:pPr>
        <w:pStyle w:val="BodyTextFirstIndent"/>
      </w:pPr>
      <w:r w:rsidRPr="003E7FFC">
        <w:t>Option C:  Party A may request from Party B the information specified in the Cover Sheet</w:t>
      </w:r>
      <w:r w:rsidR="002B35C9">
        <w:t xml:space="preserve">.  </w:t>
      </w:r>
    </w:p>
    <w:p w:rsidR="007130CD" w:rsidRPr="003E7FFC" w:rsidRDefault="007130CD">
      <w:pPr>
        <w:pStyle w:val="Heading3"/>
        <w:tabs>
          <w:tab w:val="clear" w:pos="2160"/>
        </w:tabs>
        <w:ind w:left="0" w:firstLine="1440"/>
      </w:pPr>
      <w:r w:rsidRPr="003E7FFC">
        <w:rPr>
          <w:u w:val="single"/>
        </w:rPr>
        <w:t>Credit Assurances</w:t>
      </w:r>
      <w:r w:rsidR="002B35C9">
        <w:t xml:space="preserve">.  </w:t>
      </w:r>
      <w:r w:rsidRPr="003E7FFC">
        <w:t>If Party A has reasonable grounds to believe that Party B</w:t>
      </w:r>
      <w:r w:rsidR="00A34C9E">
        <w:t>’</w:t>
      </w:r>
      <w:r w:rsidRPr="003E7FFC">
        <w:t>s creditworthiness or performance under this Agreement has become unsatisfactory, Party A will provide Party B with written notice requesting Performance Assurance in an amount determined by Party A in a commercially reasonable manner</w:t>
      </w:r>
      <w:r w:rsidR="002B35C9">
        <w:t xml:space="preserve">.  </w:t>
      </w:r>
      <w:r w:rsidRPr="003E7FFC">
        <w:t>Upon receipt of such notice Party B shall have three (3) Business Days to remedy the situation by providing such Performance Assurance to Party A</w:t>
      </w:r>
      <w:r w:rsidR="002B35C9">
        <w:t xml:space="preserve">.  </w:t>
      </w:r>
      <w:r w:rsidRPr="003E7FFC">
        <w:t>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rsidR="007130CD" w:rsidRPr="003E7FFC" w:rsidRDefault="007130CD">
      <w:pPr>
        <w:pStyle w:val="Heading3"/>
        <w:tabs>
          <w:tab w:val="clear" w:pos="2160"/>
        </w:tabs>
        <w:ind w:left="0" w:firstLine="1440"/>
      </w:pPr>
      <w:r w:rsidRPr="003E7FFC">
        <w:rPr>
          <w:u w:val="single"/>
        </w:rPr>
        <w:t>Collateral Threshold</w:t>
      </w:r>
      <w:r w:rsidR="002B35C9">
        <w:t xml:space="preserve">.  </w:t>
      </w:r>
      <w:r w:rsidRPr="003E7FFC">
        <w:t>If at any time and from time to time during the term of this Agreement (and notwithstanding whether an Event of Default has occurred), the Termination Payment that would be owed to Party A plus Party B</w:t>
      </w:r>
      <w:r w:rsidR="00A34C9E">
        <w:t>’</w:t>
      </w:r>
      <w:r w:rsidRPr="003E7FFC">
        <w:t xml:space="preserve">s Independent Amount, if any, exceeds the Party B Collateral Threshold, then Party A, on any Business Day, may request that Party B provide Performance Assurance in an amount equal to the amount by which the </w:t>
      </w:r>
      <w:r w:rsidRPr="003E7FFC">
        <w:lastRenderedPageBreak/>
        <w:t>Termination Payment plus Party B</w:t>
      </w:r>
      <w:r w:rsidR="00A34C9E">
        <w:t>’</w:t>
      </w:r>
      <w:r w:rsidRPr="003E7FFC">
        <w:t>s Independent Amount, if any, exceeds the Party B Collateral Threshold (rounding upwards for any fractional amount to the next Party B Rounding Amount) (</w:t>
      </w:r>
      <w:r w:rsidR="00A34C9E">
        <w:t>“</w:t>
      </w:r>
      <w:r w:rsidRPr="003E7FFC">
        <w:t>Party B Performance Assurance</w:t>
      </w:r>
      <w:r w:rsidR="00A34C9E">
        <w:t>”</w:t>
      </w:r>
      <w:r w:rsidRPr="003E7FFC">
        <w:t>), less any Party B Performance Assurance already posted with Party A</w:t>
      </w:r>
      <w:r w:rsidR="002B35C9">
        <w:t xml:space="preserve">.  </w:t>
      </w:r>
      <w:r w:rsidRPr="003E7FFC">
        <w:t>Such Party B Performance Assurance shall be delivered to Party A within three (3) Business Days of the date of such request</w:t>
      </w:r>
      <w:r w:rsidR="002B35C9">
        <w:t xml:space="preserve">.  </w:t>
      </w:r>
      <w:r w:rsidRPr="003E7FFC">
        <w:t>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w:t>
      </w:r>
      <w:r w:rsidR="00A34C9E">
        <w:t>’</w:t>
      </w:r>
      <w:r w:rsidRPr="003E7FFC">
        <w:t>s Independent Amount, if any, (rounding upwards for any fractional amount to the next Party B Rounding Amount)</w:t>
      </w:r>
      <w:r w:rsidR="002B35C9">
        <w:t xml:space="preserve">.  </w:t>
      </w:r>
      <w:r w:rsidRPr="003E7FFC">
        <w:t>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w:t>
      </w:r>
      <w:r w:rsidR="002B35C9">
        <w:t xml:space="preserve">.  </w:t>
      </w:r>
    </w:p>
    <w:p w:rsidR="007130CD" w:rsidRPr="003E7FFC" w:rsidRDefault="007130CD">
      <w:pPr>
        <w:pStyle w:val="BodyTextFirstIndent"/>
      </w:pPr>
      <w:r w:rsidRPr="003E7FFC">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rsidR="007130CD" w:rsidRPr="003E7FFC" w:rsidRDefault="007130CD">
      <w:pPr>
        <w:pStyle w:val="Heading3"/>
        <w:tabs>
          <w:tab w:val="clear" w:pos="2160"/>
        </w:tabs>
        <w:ind w:left="0" w:firstLine="1440"/>
      </w:pPr>
      <w:r w:rsidRPr="003E7FFC">
        <w:rPr>
          <w:u w:val="single"/>
        </w:rPr>
        <w:t>Downgrade Event</w:t>
      </w:r>
      <w:r w:rsidR="002B35C9">
        <w:t xml:space="preserve">.  </w:t>
      </w:r>
      <w:r w:rsidRPr="003E7FFC">
        <w:t>If at any time there shall occur a Downgrade Event in respect of Party B, then Party A may require Party B to provide Performance Assurance in an amount determined by Party A in a commercially reasonable manner</w:t>
      </w:r>
      <w:r w:rsidR="002B35C9">
        <w:t xml:space="preserve">.  </w:t>
      </w:r>
      <w:r w:rsidRPr="003E7FFC">
        <w:t>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rsidR="007130CD" w:rsidRPr="003E7FFC" w:rsidRDefault="007130CD">
      <w:pPr>
        <w:pStyle w:val="Heading3"/>
        <w:tabs>
          <w:tab w:val="clear" w:pos="2160"/>
        </w:tabs>
        <w:ind w:left="0" w:firstLine="1440"/>
      </w:pPr>
      <w:r w:rsidRPr="003E7FFC">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rsidR="007130CD" w:rsidRPr="003E7FFC" w:rsidRDefault="007130CD" w:rsidP="004B45E5">
      <w:pPr>
        <w:pStyle w:val="Heading2"/>
        <w:tabs>
          <w:tab w:val="clear" w:pos="921"/>
          <w:tab w:val="num" w:pos="1440"/>
        </w:tabs>
      </w:pPr>
      <w:r w:rsidRPr="003E7FFC">
        <w:rPr>
          <w:u w:val="single"/>
        </w:rPr>
        <w:t>Party B Credit Protection</w:t>
      </w:r>
      <w:r w:rsidR="0005163E" w:rsidRPr="004D0B8E">
        <w:rPr>
          <w:u w:val="single"/>
        </w:rPr>
        <w:fldChar w:fldCharType="begin"/>
      </w:r>
      <w:r w:rsidRPr="003E7FFC">
        <w:instrText xml:space="preserve"> TC </w:instrText>
      </w:r>
      <w:r w:rsidR="00A34C9E">
        <w:instrText>“</w:instrText>
      </w:r>
      <w:bookmarkStart w:id="46" w:name="_Toc64375704"/>
      <w:r w:rsidRPr="003E7FFC">
        <w:instrText>8.2</w:instrText>
      </w:r>
      <w:r w:rsidRPr="003E7FFC">
        <w:tab/>
        <w:instrText>Party B Credit Protection</w:instrText>
      </w:r>
      <w:bookmarkEnd w:id="46"/>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The applicable credit and collateral requirements shall be as specified on the Cover Sheet</w:t>
      </w:r>
      <w:r w:rsidR="002B35C9">
        <w:t xml:space="preserve">.  </w:t>
      </w:r>
      <w:r w:rsidRPr="003E7FFC">
        <w:t>If no option in Section 8.2(a) is specified on the Cover Sheet, Section 8.2(a) Option C shall apply exclusively</w:t>
      </w:r>
      <w:r w:rsidR="002B35C9">
        <w:t xml:space="preserve">.  </w:t>
      </w:r>
      <w:r w:rsidRPr="003E7FFC">
        <w:t>If none of Sections 8.2(b), 8.2(c) or 8.2(d) are specified on the Cover Sheet, Section 8.2(b) shall apply exclusively.</w:t>
      </w:r>
    </w:p>
    <w:p w:rsidR="007130CD" w:rsidRPr="003E7FFC" w:rsidRDefault="007130CD">
      <w:pPr>
        <w:pStyle w:val="Heading3"/>
        <w:tabs>
          <w:tab w:val="clear" w:pos="2160"/>
        </w:tabs>
        <w:ind w:left="0" w:firstLine="1440"/>
      </w:pPr>
      <w:r w:rsidRPr="003E7FFC">
        <w:rPr>
          <w:u w:val="single"/>
        </w:rPr>
        <w:t>Financial Information</w:t>
      </w:r>
      <w:r w:rsidR="002B35C9">
        <w:t xml:space="preserve">.  </w:t>
      </w:r>
      <w:r w:rsidRPr="003E7FFC">
        <w:t>Option A:  If requested by Party B, Party A shall deliver (i) within 120 days following the end of each fiscal year, a copy of Party A</w:t>
      </w:r>
      <w:r w:rsidR="00A34C9E">
        <w:t>’</w:t>
      </w:r>
      <w:r w:rsidRPr="003E7FFC">
        <w:t>s annual report containing audited consolidated financial statements for such fiscal year and (ii) within 60 days after the end of each of its first three fiscal quarters of each fiscal year, a copy of such Party</w:t>
      </w:r>
      <w:r w:rsidR="00A34C9E">
        <w:t>’</w:t>
      </w:r>
      <w:r w:rsidRPr="003E7FFC">
        <w:t>s quarterly report containing unaudited consolidated financial statements for such fiscal quarter</w:t>
      </w:r>
      <w:r w:rsidR="002B35C9">
        <w:t xml:space="preserve">.  </w:t>
      </w:r>
      <w:r w:rsidRPr="003E7FFC">
        <w:t>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rsidR="007130CD" w:rsidRPr="003E7FFC" w:rsidRDefault="007130CD">
      <w:pPr>
        <w:pStyle w:val="BodyTextFirstIndent"/>
      </w:pPr>
      <w:r w:rsidRPr="003E7FFC">
        <w:lastRenderedPageBreak/>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w:t>
      </w:r>
      <w:r w:rsidR="002B35C9">
        <w:t xml:space="preserve">.  </w:t>
      </w:r>
      <w:r w:rsidRPr="003E7FFC">
        <w:t>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rsidR="007130CD" w:rsidRPr="003E7FFC" w:rsidRDefault="007130CD">
      <w:pPr>
        <w:pStyle w:val="BodyTextFirstIndent"/>
      </w:pPr>
      <w:r w:rsidRPr="003E7FFC">
        <w:t>Option C:  Party B may request from Party A the information specified in the Cover Sheet</w:t>
      </w:r>
      <w:r w:rsidR="002B35C9">
        <w:t xml:space="preserve">.  </w:t>
      </w:r>
    </w:p>
    <w:p w:rsidR="007130CD" w:rsidRPr="003E7FFC" w:rsidRDefault="007130CD">
      <w:pPr>
        <w:pStyle w:val="Heading3"/>
        <w:tabs>
          <w:tab w:val="clear" w:pos="2160"/>
        </w:tabs>
        <w:ind w:left="0" w:firstLine="1440"/>
      </w:pPr>
      <w:r w:rsidRPr="003E7FFC">
        <w:rPr>
          <w:u w:val="single"/>
        </w:rPr>
        <w:t>Credit Assurances</w:t>
      </w:r>
      <w:r w:rsidR="002B35C9">
        <w:t xml:space="preserve">.  </w:t>
      </w:r>
      <w:r w:rsidRPr="003E7FFC">
        <w:t>If Party B has reasonable grounds to believe that Party A</w:t>
      </w:r>
      <w:r w:rsidR="00A34C9E">
        <w:t>’</w:t>
      </w:r>
      <w:r w:rsidRPr="003E7FFC">
        <w:t>s creditworthiness or performance under this Agreement has become unsatisfactory, Party B will provide Party A with written notice requesting Performance Assurance in an amount determined by Party B in a commercially reasonable manner</w:t>
      </w:r>
      <w:r w:rsidR="002B35C9">
        <w:t xml:space="preserve">.  </w:t>
      </w:r>
      <w:r w:rsidRPr="003E7FFC">
        <w:t>Upon receipt of such notice Party A shall have three (3) Business Days to remedy the situation by providing such Performance Assurance to Party B</w:t>
      </w:r>
      <w:r w:rsidR="002B35C9">
        <w:t xml:space="preserve">.  </w:t>
      </w:r>
      <w:r w:rsidRPr="003E7FFC">
        <w:t>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rsidR="007130CD" w:rsidRPr="003E7FFC" w:rsidRDefault="007130CD">
      <w:pPr>
        <w:pStyle w:val="Heading3"/>
        <w:tabs>
          <w:tab w:val="clear" w:pos="2160"/>
        </w:tabs>
        <w:ind w:left="0" w:firstLine="1440"/>
      </w:pPr>
      <w:r w:rsidRPr="003E7FFC">
        <w:rPr>
          <w:u w:val="single"/>
        </w:rPr>
        <w:t>Collateral Threshold</w:t>
      </w:r>
      <w:r w:rsidR="002B35C9">
        <w:t xml:space="preserve">.  </w:t>
      </w:r>
      <w:r w:rsidRPr="003E7FFC">
        <w:t>If at any time and from time to time during the term of this Agreement (and notwithstanding whether an Event of Default has occurred), the Termination Payment that would be owed to Party B plus Party A</w:t>
      </w:r>
      <w:r w:rsidR="00A34C9E">
        <w:t>’</w:t>
      </w:r>
      <w:r w:rsidRPr="003E7FFC">
        <w:t>s Independent Amount, if any, exceeds the Party A Collateral Threshold, then Party B, on any Business Day, may request that Party A provide Performance Assurance in an amount equal to the amount by which the Termination Payment plus Party A</w:t>
      </w:r>
      <w:r w:rsidR="00A34C9E">
        <w:t>’</w:t>
      </w:r>
      <w:r w:rsidRPr="003E7FFC">
        <w:t>s Independent Amount, if any, exceeds the Party A Collateral Threshold (rounding upwards for any fractional amount to the next Party A Rounding Amount) (</w:t>
      </w:r>
      <w:r w:rsidR="00A34C9E">
        <w:t>“</w:t>
      </w:r>
      <w:r w:rsidRPr="003E7FFC">
        <w:t>Party A Performance Assurance</w:t>
      </w:r>
      <w:r w:rsidR="00A34C9E">
        <w:t>”</w:t>
      </w:r>
      <w:r w:rsidRPr="003E7FFC">
        <w:t>), less any Party A Performance Assurance already posted with Party B</w:t>
      </w:r>
      <w:r w:rsidR="002B35C9">
        <w:t xml:space="preserve">.  </w:t>
      </w:r>
      <w:r w:rsidRPr="003E7FFC">
        <w:t>Such Party A Performance Assurance shall be delivered to Party B within three (3) Business Days of the date of such request</w:t>
      </w:r>
      <w:r w:rsidR="002B35C9">
        <w:t xml:space="preserve">.  </w:t>
      </w:r>
      <w:r w:rsidRPr="003E7FFC">
        <w:t>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w:t>
      </w:r>
      <w:r w:rsidR="00A34C9E">
        <w:t>’</w:t>
      </w:r>
      <w:r w:rsidRPr="003E7FFC">
        <w:t>s Independent Amount, if any, (rounding upwards for any fractional amount to the next Party A Rounding Amount)</w:t>
      </w:r>
      <w:r w:rsidR="002B35C9">
        <w:t xml:space="preserve">.  </w:t>
      </w:r>
      <w:r w:rsidRPr="003E7FFC">
        <w:t>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w:t>
      </w:r>
      <w:r w:rsidR="002B35C9">
        <w:t xml:space="preserve">.  </w:t>
      </w:r>
    </w:p>
    <w:p w:rsidR="007130CD" w:rsidRPr="003E7FFC" w:rsidRDefault="007130CD">
      <w:pPr>
        <w:pStyle w:val="BodyTextFirstIndent"/>
      </w:pPr>
      <w:r w:rsidRPr="003E7FFC">
        <w:t xml:space="preserve">For purposes of this Section 8.2(c), the calculation of the Termination Payment shall be calculated pursuant to Section 5.3 by Party B as if all outstanding Transactions had been liquidated, and in addition thereto, shall include all amounts owed but not yet paid by Party A to </w:t>
      </w:r>
      <w:r w:rsidRPr="003E7FFC">
        <w:lastRenderedPageBreak/>
        <w:t>Party B, whether or not such amounts are due, for performance already provided pursuant to any and all Transactions.</w:t>
      </w:r>
    </w:p>
    <w:p w:rsidR="007130CD" w:rsidRPr="003E7FFC" w:rsidRDefault="007130CD">
      <w:pPr>
        <w:pStyle w:val="Heading3"/>
        <w:tabs>
          <w:tab w:val="clear" w:pos="2160"/>
        </w:tabs>
        <w:ind w:left="0" w:firstLine="1440"/>
      </w:pPr>
      <w:r w:rsidRPr="003E7FFC">
        <w:rPr>
          <w:u w:val="single"/>
        </w:rPr>
        <w:t>Downgrade Event</w:t>
      </w:r>
      <w:r w:rsidR="002B35C9">
        <w:t xml:space="preserve">.  </w:t>
      </w:r>
      <w:r w:rsidRPr="003E7FFC">
        <w:t>If at any time there shall occur a Downgrade Event in respect of Party A, then Party B may require Party A to provide Performance Assurance in an amount determined by Party B in a commercially reasonable manner</w:t>
      </w:r>
      <w:r w:rsidR="002B35C9">
        <w:t xml:space="preserve">.  </w:t>
      </w:r>
      <w:r w:rsidRPr="003E7FFC">
        <w:t>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rsidR="007130CD" w:rsidRPr="003E7FFC" w:rsidRDefault="007130CD">
      <w:pPr>
        <w:pStyle w:val="Heading3"/>
        <w:tabs>
          <w:tab w:val="clear" w:pos="2160"/>
        </w:tabs>
        <w:ind w:left="0" w:firstLine="1440"/>
      </w:pPr>
      <w:r w:rsidRPr="003E7FFC">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rsidR="007130CD" w:rsidRPr="003E7FFC" w:rsidRDefault="007130CD" w:rsidP="004B45E5">
      <w:pPr>
        <w:pStyle w:val="Heading2"/>
        <w:tabs>
          <w:tab w:val="clear" w:pos="921"/>
          <w:tab w:val="num" w:pos="1440"/>
        </w:tabs>
      </w:pPr>
      <w:r w:rsidRPr="003E7FFC">
        <w:rPr>
          <w:u w:val="single"/>
        </w:rPr>
        <w:t>Grant of Security Interest/Remedies</w:t>
      </w:r>
      <w:r w:rsidR="0005163E" w:rsidRPr="004D0B8E">
        <w:rPr>
          <w:u w:val="single"/>
        </w:rPr>
        <w:fldChar w:fldCharType="begin"/>
      </w:r>
      <w:r w:rsidRPr="003E7FFC">
        <w:instrText xml:space="preserve"> TC </w:instrText>
      </w:r>
      <w:r w:rsidR="00A34C9E">
        <w:instrText>“</w:instrText>
      </w:r>
      <w:bookmarkStart w:id="47" w:name="_Toc64375705"/>
      <w:r w:rsidRPr="003E7FFC">
        <w:instrText>8.3</w:instrText>
      </w:r>
      <w:r w:rsidRPr="003E7FFC">
        <w:tab/>
        <w:instrText>Grant of Security Interest/Remedies</w:instrText>
      </w:r>
      <w:bookmarkEnd w:id="47"/>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To secure its obligations under this Agreement and to the extent either or both Parties deliver Performance Assurance hereunder, each Party (a </w:t>
      </w:r>
      <w:r w:rsidR="00A34C9E">
        <w:t>“</w:t>
      </w:r>
      <w:r w:rsidRPr="003E7FFC">
        <w:t>Pledgor</w:t>
      </w:r>
      <w:r w:rsidR="00A34C9E">
        <w:t>”</w:t>
      </w:r>
      <w:r w:rsidRPr="003E7FFC">
        <w:t xml:space="preserve">) hereby grants to the other Party (the </w:t>
      </w:r>
      <w:r w:rsidR="00A34C9E">
        <w:t>“</w:t>
      </w:r>
      <w:r w:rsidRPr="003E7FFC">
        <w:t>Secured Party</w:t>
      </w:r>
      <w:r w:rsidR="00A34C9E">
        <w:t>”</w:t>
      </w:r>
      <w:r w:rsidRPr="003E7FFC">
        <w:t>)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w:t>
      </w:r>
      <w:r w:rsidR="00A34C9E">
        <w:t>’</w:t>
      </w:r>
      <w:r w:rsidRPr="003E7FFC">
        <w:t>s first-priority security interest in, and lien on (and right of setoff against), such collateral and any and all proceeds resulting therefrom or from the liquidation thereof</w:t>
      </w:r>
      <w:r w:rsidR="002B35C9">
        <w:t xml:space="preserve">.  </w:t>
      </w:r>
      <w:r w:rsidRPr="003E7FFC">
        <w:t>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w:t>
      </w:r>
      <w:r w:rsidR="002B35C9">
        <w:t xml:space="preserve">.  </w:t>
      </w:r>
      <w:r w:rsidRPr="003E7FFC">
        <w:t>The Secured Party shall apply the proceeds of the collateral realized upon the exercise of any such rights or remedies to reduce the Pledgor</w:t>
      </w:r>
      <w:r w:rsidR="00A34C9E">
        <w:t>’</w:t>
      </w:r>
      <w:r w:rsidRPr="003E7FFC">
        <w:t>s obligations under the Agreement (the Pledgor remaining liable for any amounts owing to the Secured Party after such application), subject to the Secured Party</w:t>
      </w:r>
      <w:r w:rsidR="00A34C9E">
        <w:t>’</w:t>
      </w:r>
      <w:r w:rsidRPr="003E7FFC">
        <w:t>s obligation to return any surplus proceeds remaining after such obligations are satisfied in full.</w:t>
      </w:r>
    </w:p>
    <w:p w:rsidR="007130CD" w:rsidRPr="003E7FFC" w:rsidRDefault="007130CD">
      <w:pPr>
        <w:pStyle w:val="Heading1"/>
      </w:pPr>
      <w:r w:rsidRPr="003E7FFC">
        <w:t>GOVERNMENTAL CHARGES</w:t>
      </w:r>
      <w:r w:rsidR="0005163E" w:rsidRPr="004D0B8E">
        <w:fldChar w:fldCharType="begin"/>
      </w:r>
      <w:r w:rsidRPr="003E7FFC">
        <w:instrText xml:space="preserve"> TC </w:instrText>
      </w:r>
      <w:r w:rsidR="00A34C9E">
        <w:instrText>“</w:instrText>
      </w:r>
      <w:bookmarkStart w:id="48" w:name="_Toc64375706"/>
      <w:r w:rsidRPr="003E7FFC">
        <w:instrText>ARTICLE NINE:</w:instrText>
      </w:r>
      <w:r w:rsidRPr="003E7FFC">
        <w:tab/>
        <w:instrText>GOVERNMENTAL CHARGES</w:instrText>
      </w:r>
      <w:bookmarkEnd w:id="48"/>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rsidR="007130CD" w:rsidRPr="003E7FFC" w:rsidRDefault="007130CD" w:rsidP="005B0905">
      <w:pPr>
        <w:pStyle w:val="Heading2"/>
        <w:tabs>
          <w:tab w:val="clear" w:pos="921"/>
          <w:tab w:val="num" w:pos="1440"/>
        </w:tabs>
      </w:pPr>
      <w:r w:rsidRPr="003E7FFC">
        <w:rPr>
          <w:u w:val="single"/>
        </w:rPr>
        <w:t>Cooperation</w:t>
      </w:r>
      <w:r w:rsidR="0005163E" w:rsidRPr="004D0B8E">
        <w:rPr>
          <w:u w:val="single"/>
        </w:rPr>
        <w:fldChar w:fldCharType="begin"/>
      </w:r>
      <w:r w:rsidRPr="003E7FFC">
        <w:instrText xml:space="preserve"> TC </w:instrText>
      </w:r>
      <w:r w:rsidR="00A34C9E">
        <w:instrText>“</w:instrText>
      </w:r>
      <w:bookmarkStart w:id="49" w:name="_Toc64375707"/>
      <w:r w:rsidRPr="003E7FFC">
        <w:instrText>9.1</w:instrText>
      </w:r>
      <w:r w:rsidRPr="003E7FFC">
        <w:tab/>
        <w:instrText>Cooperation</w:instrText>
      </w:r>
      <w:bookmarkEnd w:id="49"/>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Each Party shall use reasonable efforts to implement the provisions of and to administer this Master Agreement in accordance with the intent of the parties to minimize all </w:t>
      </w:r>
      <w:proofErr w:type="gramStart"/>
      <w:r w:rsidRPr="003E7FFC">
        <w:t>taxes ,</w:t>
      </w:r>
      <w:proofErr w:type="gramEnd"/>
      <w:r w:rsidRPr="003E7FFC">
        <w:t xml:space="preserve"> so long as neither Party is materially adversely affected by such efforts.</w:t>
      </w:r>
    </w:p>
    <w:p w:rsidR="007130CD" w:rsidRPr="003E7FFC" w:rsidRDefault="007130CD" w:rsidP="005B0905">
      <w:pPr>
        <w:pStyle w:val="Heading2"/>
        <w:tabs>
          <w:tab w:val="clear" w:pos="921"/>
          <w:tab w:val="num" w:pos="1440"/>
        </w:tabs>
      </w:pPr>
      <w:r w:rsidRPr="003E7FFC">
        <w:rPr>
          <w:u w:val="single"/>
        </w:rPr>
        <w:t>Governmental Charges</w:t>
      </w:r>
      <w:r w:rsidR="0005163E" w:rsidRPr="004D0B8E">
        <w:rPr>
          <w:u w:val="single"/>
        </w:rPr>
        <w:fldChar w:fldCharType="begin"/>
      </w:r>
      <w:r w:rsidRPr="003E7FFC">
        <w:instrText xml:space="preserve"> TC </w:instrText>
      </w:r>
      <w:r w:rsidR="00A34C9E">
        <w:instrText>“</w:instrText>
      </w:r>
      <w:bookmarkStart w:id="50" w:name="_Toc64375708"/>
      <w:r w:rsidRPr="003E7FFC">
        <w:instrText>9.2</w:instrText>
      </w:r>
      <w:r w:rsidRPr="003E7FFC">
        <w:tab/>
        <w:instrText>Governmental Charges</w:instrText>
      </w:r>
      <w:bookmarkEnd w:id="50"/>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Seller shall pay or cause to be paid all taxes imposed by any government authority (</w:t>
      </w:r>
      <w:r w:rsidR="00A34C9E">
        <w:t>“</w:t>
      </w:r>
      <w:r w:rsidRPr="003E7FFC">
        <w:t>Governmental Charges</w:t>
      </w:r>
      <w:r w:rsidR="00A34C9E">
        <w:t>”</w:t>
      </w:r>
      <w:r w:rsidRPr="003E7FFC">
        <w:t>) on or with respect to the Product or a Transaction arising prior to the Delivery Point</w:t>
      </w:r>
      <w:r w:rsidR="002B35C9">
        <w:t xml:space="preserve">.  </w:t>
      </w:r>
      <w:r w:rsidRPr="003E7FFC">
        <w:t xml:space="preserve">Buyer shall pay or cause to be paid all </w:t>
      </w:r>
      <w:r w:rsidRPr="003E7FFC">
        <w:lastRenderedPageBreak/>
        <w:t>Governmental Charges on or with respect to the Product or a Transaction at and from the Delivery Point (other than ad valorem, franchise or income taxes which are related to the sale of the Product and are, therefore, the responsibility of the Seller)</w:t>
      </w:r>
      <w:r w:rsidR="002B35C9">
        <w:t xml:space="preserve">.  </w:t>
      </w:r>
      <w:r w:rsidRPr="003E7FFC">
        <w:t>In the event Seller is required by law or regulation to remit or pay Governmental Charges which are Buyer</w:t>
      </w:r>
      <w:r w:rsidR="00A34C9E">
        <w:t>’</w:t>
      </w:r>
      <w:r w:rsidRPr="003E7FFC">
        <w:t>s responsibility hereunder, Buyer shall promptly reimburse Seller for such Governmental Charges</w:t>
      </w:r>
      <w:r w:rsidR="002B35C9">
        <w:t xml:space="preserve">.  </w:t>
      </w:r>
      <w:r w:rsidRPr="003E7FFC">
        <w:t>If Buyer is required by law or regulation to remit or pay Governmental Charges which are Seller</w:t>
      </w:r>
      <w:r w:rsidR="00A34C9E">
        <w:t>’</w:t>
      </w:r>
      <w:r w:rsidRPr="003E7FFC">
        <w:t>s responsibility hereunder, Buyer may deduct the amount of any such Governmental Charges from the sums due to Seller under Article 6 of this Agreement</w:t>
      </w:r>
      <w:r w:rsidR="002B35C9">
        <w:t xml:space="preserve">.  </w:t>
      </w:r>
      <w:r w:rsidRPr="003E7FFC">
        <w:t>Nothing shall obligate or cause a Party to pay or be liable to pay any Governmental Charges for which it is exempt under the law.</w:t>
      </w:r>
    </w:p>
    <w:p w:rsidR="007130CD" w:rsidRPr="003E7FFC" w:rsidRDefault="007130CD">
      <w:pPr>
        <w:pStyle w:val="Heading1"/>
      </w:pPr>
      <w:r w:rsidRPr="003E7FFC">
        <w:t>MISCELLANEOUS</w:t>
      </w:r>
      <w:r w:rsidR="0005163E" w:rsidRPr="004D0B8E">
        <w:fldChar w:fldCharType="begin"/>
      </w:r>
      <w:r w:rsidRPr="003E7FFC">
        <w:instrText xml:space="preserve"> TC </w:instrText>
      </w:r>
      <w:r w:rsidR="00A34C9E">
        <w:instrText>“</w:instrText>
      </w:r>
      <w:bookmarkStart w:id="51" w:name="_Toc64375709"/>
      <w:r w:rsidRPr="003E7FFC">
        <w:instrText>ARTICLE TEN:</w:instrText>
      </w:r>
      <w:r w:rsidRPr="003E7FFC">
        <w:tab/>
        <w:instrText>MISCELLANEOUS</w:instrText>
      </w:r>
      <w:bookmarkEnd w:id="51"/>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rsidR="007130CD" w:rsidRPr="003E7FFC" w:rsidRDefault="007130CD">
      <w:pPr>
        <w:pStyle w:val="Heading2"/>
      </w:pPr>
      <w:r w:rsidRPr="003E7FFC">
        <w:rPr>
          <w:u w:val="single"/>
        </w:rPr>
        <w:t>Term of Master Agreement</w:t>
      </w:r>
      <w:r w:rsidR="0005163E" w:rsidRPr="004D0B8E">
        <w:rPr>
          <w:u w:val="single"/>
        </w:rPr>
        <w:fldChar w:fldCharType="begin"/>
      </w:r>
      <w:r w:rsidRPr="003E7FFC">
        <w:instrText xml:space="preserve"> TC </w:instrText>
      </w:r>
      <w:r w:rsidR="00A34C9E">
        <w:instrText>“</w:instrText>
      </w:r>
      <w:bookmarkStart w:id="52" w:name="_Toc64375710"/>
      <w:r w:rsidRPr="003E7FFC">
        <w:instrText>10.1</w:instrText>
      </w:r>
      <w:r w:rsidRPr="003E7FFC">
        <w:tab/>
        <w:instrText>Term of Master Agreement</w:instrText>
      </w:r>
      <w:bookmarkEnd w:id="52"/>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The term of this Master Agreement shall commence on the Effective Date and shall remain in effect until terminated by either Party upon (thirty) 30 days</w:t>
      </w:r>
      <w:r w:rsidR="00A34C9E">
        <w:t>’</w:t>
      </w:r>
      <w:r w:rsidRPr="003E7FFC">
        <w:t xml:space="preserve">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rsidR="007130CD" w:rsidRPr="003E7FFC" w:rsidRDefault="007130CD">
      <w:pPr>
        <w:pStyle w:val="Heading2"/>
      </w:pPr>
      <w:r w:rsidRPr="003E7FFC">
        <w:rPr>
          <w:u w:val="single"/>
        </w:rPr>
        <w:t>Representations and Warranties</w:t>
      </w:r>
      <w:r w:rsidR="0005163E" w:rsidRPr="004D0B8E">
        <w:rPr>
          <w:u w:val="single"/>
        </w:rPr>
        <w:fldChar w:fldCharType="begin"/>
      </w:r>
      <w:r w:rsidRPr="003E7FFC">
        <w:instrText xml:space="preserve"> TC </w:instrText>
      </w:r>
      <w:r w:rsidR="00A34C9E">
        <w:instrText>“</w:instrText>
      </w:r>
      <w:bookmarkStart w:id="53" w:name="_Toc64375711"/>
      <w:r w:rsidRPr="003E7FFC">
        <w:instrText>10.2</w:instrText>
      </w:r>
      <w:r w:rsidRPr="003E7FFC">
        <w:tab/>
        <w:instrText>Representations and Warranties</w:instrText>
      </w:r>
      <w:bookmarkEnd w:id="53"/>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On the Effective Date and the date of </w:t>
      </w:r>
      <w:proofErr w:type="gramStart"/>
      <w:r w:rsidRPr="003E7FFC">
        <w:t>entering into</w:t>
      </w:r>
      <w:proofErr w:type="gramEnd"/>
      <w:r w:rsidRPr="003E7FFC">
        <w:t xml:space="preserve"> each Transaction, each Party represents and warrants to the other Party that: </w:t>
      </w:r>
    </w:p>
    <w:p w:rsidR="007130CD" w:rsidRPr="003E7FFC" w:rsidRDefault="007130CD">
      <w:pPr>
        <w:pStyle w:val="Heading5"/>
        <w:tabs>
          <w:tab w:val="clear" w:pos="2160"/>
        </w:tabs>
      </w:pPr>
      <w:r w:rsidRPr="003E7FFC">
        <w:t>it is duly organized, validly existing and in good standing under the laws of the jurisdiction of its formation;</w:t>
      </w:r>
    </w:p>
    <w:p w:rsidR="007130CD" w:rsidRPr="003E7FFC" w:rsidRDefault="007130CD">
      <w:pPr>
        <w:pStyle w:val="Heading5"/>
        <w:tabs>
          <w:tab w:val="clear" w:pos="2160"/>
        </w:tabs>
      </w:pPr>
      <w:r w:rsidRPr="003E7FFC">
        <w:t>it has all regulatory authorizations necessary for it to legally perform its obligations under this Master Agreement and each Transaction (including any Confirmation accepted in accordance with Section 2.3);</w:t>
      </w:r>
    </w:p>
    <w:p w:rsidR="007130CD" w:rsidRPr="003E7FFC" w:rsidRDefault="007130CD">
      <w:pPr>
        <w:pStyle w:val="Heading5"/>
        <w:tabs>
          <w:tab w:val="clear" w:pos="2160"/>
        </w:tabs>
      </w:pPr>
      <w:r w:rsidRPr="003E7FFC">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rsidR="007130CD" w:rsidRPr="003E7FFC" w:rsidRDefault="007130CD">
      <w:pPr>
        <w:pStyle w:val="Heading5"/>
        <w:tabs>
          <w:tab w:val="clear" w:pos="2160"/>
        </w:tabs>
      </w:pPr>
      <w:r w:rsidRPr="003E7FFC">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rsidR="007130CD" w:rsidRPr="003E7FFC" w:rsidRDefault="007130CD">
      <w:pPr>
        <w:pStyle w:val="Heading5"/>
        <w:tabs>
          <w:tab w:val="clear" w:pos="2160"/>
        </w:tabs>
      </w:pPr>
      <w:r w:rsidRPr="003E7FFC">
        <w:t>it is not Bankrupt and there are no proceedings pending or being contemplated by it or, to its knowledge, threatened against it which would result in it being or becoming Bankrupt;</w:t>
      </w:r>
    </w:p>
    <w:p w:rsidR="007130CD" w:rsidRPr="003E7FFC" w:rsidRDefault="007130CD">
      <w:pPr>
        <w:pStyle w:val="Heading5"/>
        <w:tabs>
          <w:tab w:val="clear" w:pos="2160"/>
        </w:tabs>
      </w:pPr>
      <w:r w:rsidRPr="003E7FFC">
        <w:lastRenderedPageBreak/>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rsidR="007130CD" w:rsidRPr="003E7FFC" w:rsidRDefault="007130CD">
      <w:pPr>
        <w:pStyle w:val="Heading5"/>
        <w:tabs>
          <w:tab w:val="clear" w:pos="2160"/>
        </w:tabs>
      </w:pPr>
      <w:r w:rsidRPr="003E7FFC">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rsidR="007130CD" w:rsidRPr="003E7FFC" w:rsidRDefault="007130CD">
      <w:pPr>
        <w:pStyle w:val="Heading5"/>
        <w:tabs>
          <w:tab w:val="clear" w:pos="2160"/>
        </w:tabs>
      </w:pPr>
      <w:r w:rsidRPr="003E7FFC">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rsidR="007130CD" w:rsidRPr="003E7FFC" w:rsidRDefault="007130CD">
      <w:pPr>
        <w:pStyle w:val="Heading5"/>
        <w:tabs>
          <w:tab w:val="clear" w:pos="2160"/>
        </w:tabs>
      </w:pPr>
      <w:r w:rsidRPr="003E7FFC">
        <w:t xml:space="preserve">it is a </w:t>
      </w:r>
      <w:r w:rsidR="00A34C9E">
        <w:t>“</w:t>
      </w:r>
      <w:r w:rsidRPr="003E7FFC">
        <w:t>forward contract merchant</w:t>
      </w:r>
      <w:r w:rsidR="00A34C9E">
        <w:t>”</w:t>
      </w:r>
      <w:r w:rsidRPr="003E7FFC">
        <w:t xml:space="preserve"> within the meaning of the United States Bankruptcy Code;</w:t>
      </w:r>
    </w:p>
    <w:p w:rsidR="007130CD" w:rsidRPr="003E7FFC" w:rsidRDefault="007130CD">
      <w:pPr>
        <w:pStyle w:val="Heading5"/>
        <w:tabs>
          <w:tab w:val="clear" w:pos="2160"/>
        </w:tabs>
      </w:pPr>
      <w:r w:rsidRPr="003E7FFC">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rsidR="007130CD" w:rsidRPr="003E7FFC" w:rsidRDefault="007130CD">
      <w:pPr>
        <w:pStyle w:val="Heading5"/>
        <w:tabs>
          <w:tab w:val="clear" w:pos="2160"/>
        </w:tabs>
      </w:pPr>
      <w:r w:rsidRPr="003E7FFC">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rsidR="007130CD" w:rsidRPr="003E7FFC" w:rsidRDefault="007130CD">
      <w:pPr>
        <w:pStyle w:val="Heading5"/>
        <w:tabs>
          <w:tab w:val="clear" w:pos="2160"/>
        </w:tabs>
      </w:pPr>
      <w:r w:rsidRPr="003E7FFC">
        <w:t>the material economic terms of each Transaction are subject to individual negotiation by the Parties.</w:t>
      </w:r>
    </w:p>
    <w:p w:rsidR="007130CD" w:rsidRPr="003E7FFC" w:rsidRDefault="007130CD">
      <w:pPr>
        <w:pStyle w:val="Heading2"/>
      </w:pPr>
      <w:r w:rsidRPr="003E7FFC">
        <w:rPr>
          <w:u w:val="single"/>
        </w:rPr>
        <w:t>Title and Risk of Loss</w:t>
      </w:r>
      <w:r w:rsidR="0005163E" w:rsidRPr="004D0B8E">
        <w:rPr>
          <w:u w:val="single"/>
        </w:rPr>
        <w:fldChar w:fldCharType="begin"/>
      </w:r>
      <w:r w:rsidRPr="003E7FFC">
        <w:instrText xml:space="preserve"> TC </w:instrText>
      </w:r>
      <w:r w:rsidR="00A34C9E">
        <w:instrText>“</w:instrText>
      </w:r>
      <w:bookmarkStart w:id="54" w:name="_Toc64375712"/>
      <w:r w:rsidRPr="003E7FFC">
        <w:instrText>10.3</w:instrText>
      </w:r>
      <w:r w:rsidRPr="003E7FFC">
        <w:tab/>
        <w:instrText>Title and Risk of Loss</w:instrText>
      </w:r>
      <w:bookmarkEnd w:id="54"/>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Title to and risk of loss related to the Product shall transfer from Seller to Buyer at the Delivery Point</w:t>
      </w:r>
      <w:r w:rsidR="002B35C9">
        <w:t xml:space="preserve">.  </w:t>
      </w:r>
      <w:r w:rsidRPr="003E7FFC">
        <w:t>Seller warrants that it will deliver to Buyer the Quantity of the Product free and clear of all liens, security interests, claims and encumbrances or any interest therein or thereto by any person arising prior to the Delivery Point</w:t>
      </w:r>
      <w:r w:rsidR="002B35C9">
        <w:t xml:space="preserve">.  </w:t>
      </w:r>
    </w:p>
    <w:p w:rsidR="007130CD" w:rsidRPr="003E7FFC" w:rsidRDefault="007130CD">
      <w:pPr>
        <w:pStyle w:val="Heading2"/>
      </w:pPr>
      <w:r w:rsidRPr="003E7FFC">
        <w:rPr>
          <w:u w:val="single"/>
        </w:rPr>
        <w:lastRenderedPageBreak/>
        <w:t>Indemnity</w:t>
      </w:r>
      <w:r w:rsidR="0005163E" w:rsidRPr="004D0B8E">
        <w:rPr>
          <w:u w:val="single"/>
        </w:rPr>
        <w:fldChar w:fldCharType="begin"/>
      </w:r>
      <w:r w:rsidRPr="003E7FFC">
        <w:instrText xml:space="preserve"> TC </w:instrText>
      </w:r>
      <w:r w:rsidR="00A34C9E">
        <w:instrText>“</w:instrText>
      </w:r>
      <w:bookmarkStart w:id="55" w:name="_Toc64375713"/>
      <w:r w:rsidRPr="003E7FFC">
        <w:instrText>10.4</w:instrText>
      </w:r>
      <w:r w:rsidRPr="003E7FFC">
        <w:tab/>
        <w:instrText>Indemnity</w:instrText>
      </w:r>
      <w:bookmarkEnd w:id="55"/>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w:t>
      </w:r>
      <w:r w:rsidR="002B35C9">
        <w:t xml:space="preserve">.  </w:t>
      </w:r>
      <w:r w:rsidRPr="003E7FFC">
        <w:t>Each Party shall indemnify, defend and hold harmless the other Party against any Governmental Charges for which such Party is responsible under Article Nine.</w:t>
      </w:r>
    </w:p>
    <w:p w:rsidR="007130CD" w:rsidRPr="003E7FFC" w:rsidRDefault="007130CD">
      <w:pPr>
        <w:pStyle w:val="Heading2"/>
      </w:pPr>
      <w:r w:rsidRPr="003E7FFC">
        <w:rPr>
          <w:u w:val="single"/>
        </w:rPr>
        <w:t>Assignment</w:t>
      </w:r>
      <w:r w:rsidR="0005163E" w:rsidRPr="004D0B8E">
        <w:rPr>
          <w:u w:val="single"/>
        </w:rPr>
        <w:fldChar w:fldCharType="begin"/>
      </w:r>
      <w:r w:rsidRPr="003E7FFC">
        <w:instrText xml:space="preserve"> TC </w:instrText>
      </w:r>
      <w:r w:rsidR="00A34C9E">
        <w:instrText>“</w:instrText>
      </w:r>
      <w:bookmarkStart w:id="56" w:name="_Toc64375714"/>
      <w:r w:rsidRPr="003E7FFC">
        <w:instrText>10.5</w:instrText>
      </w:r>
      <w:r w:rsidRPr="003E7FFC">
        <w:tab/>
        <w:instrText>Assignment</w:instrText>
      </w:r>
      <w:bookmarkEnd w:id="56"/>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w:t>
      </w:r>
      <w:r w:rsidR="00A34C9E">
        <w:t>’</w:t>
      </w:r>
      <w:r w:rsidRPr="003E7FFC">
        <w:t>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rsidR="007130CD" w:rsidRPr="003E7FFC" w:rsidRDefault="007130CD">
      <w:pPr>
        <w:pStyle w:val="Heading2"/>
      </w:pPr>
      <w:r w:rsidRPr="003E7FFC">
        <w:rPr>
          <w:u w:val="single"/>
        </w:rPr>
        <w:t>Governing Law</w:t>
      </w:r>
      <w:r w:rsidR="0005163E" w:rsidRPr="004D0B8E">
        <w:rPr>
          <w:u w:val="single"/>
        </w:rPr>
        <w:fldChar w:fldCharType="begin"/>
      </w:r>
      <w:r w:rsidRPr="003E7FFC">
        <w:instrText xml:space="preserve"> TC </w:instrText>
      </w:r>
      <w:r w:rsidR="00A34C9E">
        <w:instrText>“</w:instrText>
      </w:r>
      <w:bookmarkStart w:id="57" w:name="_Toc64375715"/>
      <w:r w:rsidRPr="003E7FFC">
        <w:instrText>10.6</w:instrText>
      </w:r>
      <w:r w:rsidRPr="003E7FFC">
        <w:tab/>
        <w:instrText>Governing Law</w:instrText>
      </w:r>
      <w:bookmarkEnd w:id="57"/>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THIS AGREEMENT AND THE RIGHTS AND DUTIES OF THE PARTIES HEREUNDER SHALL BE GOVERNED BY AND CONSTRUED, ENFORCED AND PERFORMED IN ACCORDANCE WITH THE LAWS OF THE STATE OF </w:t>
      </w:r>
      <w:r w:rsidR="00E23208">
        <w:t>ILLINOIS</w:t>
      </w:r>
      <w:r w:rsidRPr="003E7FFC">
        <w:t>, WITHOUT REGARD TO PRINCIPLES OF CONFLICTS OF LAW</w:t>
      </w:r>
      <w:r w:rsidR="002B35C9">
        <w:t xml:space="preserve">.  </w:t>
      </w:r>
      <w:r w:rsidRPr="003E7FFC">
        <w:t>EACH PARTY WAIVES ITS RESPECTIVE RIGHT TO ANY JURY TRIAL WITH RESPECT TO ANY LITIGATION ARISING UNDER OR IN CONNECTION WITH THIS AGREEMENT.</w:t>
      </w:r>
    </w:p>
    <w:p w:rsidR="007130CD" w:rsidRPr="003E7FFC" w:rsidRDefault="007130CD">
      <w:pPr>
        <w:pStyle w:val="Heading2"/>
      </w:pPr>
      <w:r w:rsidRPr="003E7FFC">
        <w:rPr>
          <w:u w:val="single"/>
        </w:rPr>
        <w:t>Notices</w:t>
      </w:r>
      <w:r w:rsidR="0005163E" w:rsidRPr="004D0B8E">
        <w:rPr>
          <w:u w:val="single"/>
        </w:rPr>
        <w:fldChar w:fldCharType="begin"/>
      </w:r>
      <w:r w:rsidRPr="003E7FFC">
        <w:instrText xml:space="preserve"> TC </w:instrText>
      </w:r>
      <w:r w:rsidR="00A34C9E">
        <w:instrText>“</w:instrText>
      </w:r>
      <w:bookmarkStart w:id="58" w:name="_Toc64375716"/>
      <w:r w:rsidRPr="003E7FFC">
        <w:instrText>10.7</w:instrText>
      </w:r>
      <w:r w:rsidRPr="003E7FFC">
        <w:tab/>
        <w:instrText>Notices</w:instrText>
      </w:r>
      <w:bookmarkEnd w:id="58"/>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All notices, requests, statements or payments shall be made as specified in the Cover Sheet</w:t>
      </w:r>
      <w:r w:rsidR="002B35C9">
        <w:t xml:space="preserve">.  </w:t>
      </w:r>
      <w:r w:rsidRPr="003E7FFC">
        <w:t>Notices (other than scheduling requests) shall, unless otherwise specified herein, be in writing and may be delivered by hand delivery, United States mail, overnight courier service or facsimile</w:t>
      </w:r>
      <w:r w:rsidR="002B35C9">
        <w:t xml:space="preserve">.  </w:t>
      </w:r>
      <w:r w:rsidRPr="003E7FFC">
        <w:t xml:space="preserve">Notice by facsimile or hand delivery shall be effective at the close of business on the day </w:t>
      </w:r>
      <w:proofErr w:type="gramStart"/>
      <w:r w:rsidRPr="003E7FFC">
        <w:t>actually received</w:t>
      </w:r>
      <w:proofErr w:type="gramEnd"/>
      <w:r w:rsidRPr="003E7FFC">
        <w:t>, if received during business hours on a Business Day, and otherwise shall be effective at the close of business on the next Business Day</w:t>
      </w:r>
      <w:r w:rsidR="002B35C9">
        <w:t xml:space="preserve">.  </w:t>
      </w:r>
      <w:r w:rsidRPr="003E7FFC">
        <w:t>Notice by overnight United States mail or courier shall be effective on the next Business Day after it was sent</w:t>
      </w:r>
      <w:r w:rsidR="002B35C9">
        <w:t xml:space="preserve">.  </w:t>
      </w:r>
      <w:r w:rsidRPr="003E7FFC">
        <w:t>A Party may change its addresses by providing notice of same in accordance herewith.</w:t>
      </w:r>
    </w:p>
    <w:p w:rsidR="007130CD" w:rsidRPr="003E7FFC" w:rsidRDefault="007130CD">
      <w:pPr>
        <w:pStyle w:val="Heading2"/>
      </w:pPr>
      <w:r w:rsidRPr="003E7FFC">
        <w:rPr>
          <w:u w:val="single"/>
        </w:rPr>
        <w:t>General</w:t>
      </w:r>
      <w:r w:rsidR="0005163E" w:rsidRPr="004D0B8E">
        <w:rPr>
          <w:u w:val="single"/>
        </w:rPr>
        <w:fldChar w:fldCharType="begin"/>
      </w:r>
      <w:r w:rsidRPr="003E7FFC">
        <w:instrText xml:space="preserve"> TC </w:instrText>
      </w:r>
      <w:r w:rsidR="00A34C9E">
        <w:instrText>“</w:instrText>
      </w:r>
      <w:bookmarkStart w:id="59" w:name="_Toc64375717"/>
      <w:r w:rsidRPr="003E7FFC">
        <w:instrText>10.8</w:instrText>
      </w:r>
      <w:r w:rsidRPr="003E7FFC">
        <w:tab/>
        <w:instrText>General</w:instrText>
      </w:r>
      <w:bookmarkEnd w:id="59"/>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w:t>
      </w:r>
      <w:r w:rsidR="002B35C9">
        <w:t xml:space="preserve">.  </w:t>
      </w:r>
      <w:r w:rsidRPr="003E7FFC">
        <w:t>Notwithstanding the foregoing, any collateral, credit support or margin agreement or similar arrangement between the Parties shall, upon designation by the Parties, be deemed part of this Agreement and shall be incorporated herein by reference</w:t>
      </w:r>
      <w:r w:rsidR="002B35C9">
        <w:t xml:space="preserve">.  </w:t>
      </w:r>
      <w:r w:rsidRPr="003E7FFC">
        <w:t>This Agreement shall be considered for all purposes as prepared through the joint efforts of the parties and shall not be construed against one party or the other as a result of the preparation, substitution, submission or other event of negotiation, drafting or execution hereof</w:t>
      </w:r>
      <w:r w:rsidR="002B35C9">
        <w:t xml:space="preserve">.  </w:t>
      </w:r>
      <w:r w:rsidRPr="003E7FFC">
        <w:t>Except to the extent herein provided for, no amendment or modification to this Master Agreement shall be enforceable unless reduced to writing and executed by both Parties</w:t>
      </w:r>
      <w:r w:rsidR="002B35C9">
        <w:t xml:space="preserve">.  </w:t>
      </w:r>
      <w:r w:rsidRPr="003E7FFC">
        <w:t xml:space="preserve">Each Party agrees if it seeks to amend any applicable wholesale power sales tariff during the term </w:t>
      </w:r>
      <w:r w:rsidRPr="003E7FFC">
        <w:lastRenderedPageBreak/>
        <w:t>of this Agreement, such amendment will not in any way affect outstanding Transactions under this Agreement without the prior written consent of the other Party</w:t>
      </w:r>
      <w:r w:rsidR="002B35C9">
        <w:t xml:space="preserve">.  </w:t>
      </w:r>
      <w:r w:rsidRPr="003E7FFC">
        <w:t>Each Party further agrees that it will not assert, or defend itself, on the basis that any applicable tariff is inconsistent with this Agreement</w:t>
      </w:r>
      <w:r w:rsidR="002B35C9">
        <w:t xml:space="preserve">.  </w:t>
      </w:r>
      <w:r w:rsidRPr="003E7FFC">
        <w:t>This Agreement shall not impart any rights enforceable by any third party (other than a permitted successor or assignee bound to this Agreement)</w:t>
      </w:r>
      <w:r w:rsidR="002B35C9">
        <w:t xml:space="preserve">.  </w:t>
      </w:r>
      <w:r w:rsidRPr="003E7FFC">
        <w:t>Waiver by a Party of any default by the other Party shall not be construed as a waiver of any other default</w:t>
      </w:r>
      <w:r w:rsidR="002B35C9">
        <w:t xml:space="preserve">.  </w:t>
      </w:r>
      <w:r w:rsidRPr="003E7FFC">
        <w:t xml:space="preserve">Any provision declared or rendered unlawful by any applicable court of law or regulatory agency or deemed unlawful because of a statutory change (individually or collectively, such events referred to as </w:t>
      </w:r>
      <w:r w:rsidR="00A34C9E">
        <w:t>“</w:t>
      </w:r>
      <w:r w:rsidRPr="003E7FFC">
        <w:t>Regulatory Event</w:t>
      </w:r>
      <w:r w:rsidR="00A34C9E">
        <w:t>”</w:t>
      </w:r>
      <w:r w:rsidRPr="003E7FFC">
        <w:t>) will not otherwise affect the remaining lawful obligations that arise under this Agreement; and provided, further, that if a Regulatory Event occurs, the Parties shall use their best efforts to reform this Agreement in order to give effect to the original intention of the Parties</w:t>
      </w:r>
      <w:r w:rsidR="002B35C9">
        <w:t xml:space="preserve">.  </w:t>
      </w:r>
      <w:r w:rsidRPr="003E7FFC">
        <w:t xml:space="preserve">The term </w:t>
      </w:r>
      <w:r w:rsidR="00A34C9E">
        <w:t>“</w:t>
      </w:r>
      <w:r w:rsidRPr="003E7FFC">
        <w:t>including</w:t>
      </w:r>
      <w:r w:rsidR="00A34C9E">
        <w:t>”</w:t>
      </w:r>
      <w:r w:rsidRPr="003E7FFC">
        <w:t xml:space="preserve"> when used in this Agreement shall be by way of example only and shall not be considered in any way to be in limitation</w:t>
      </w:r>
      <w:r w:rsidR="002B35C9">
        <w:t xml:space="preserve">.  </w:t>
      </w:r>
      <w:r w:rsidRPr="003E7FFC">
        <w:t>The headings used herein are for convenience and reference purposes only</w:t>
      </w:r>
      <w:r w:rsidR="002B35C9">
        <w:t xml:space="preserve">.  </w:t>
      </w:r>
      <w:r w:rsidRPr="003E7FFC">
        <w:t>All indemnity and audit rights shall survive the termination of this Agreement for twelve (12) months</w:t>
      </w:r>
      <w:r w:rsidR="002B35C9">
        <w:t xml:space="preserve">.  </w:t>
      </w:r>
      <w:r w:rsidRPr="003E7FFC">
        <w:t>This Agreement shall be binding on each Party</w:t>
      </w:r>
      <w:r w:rsidR="00A34C9E">
        <w:t>’</w:t>
      </w:r>
      <w:r w:rsidRPr="003E7FFC">
        <w:t>s successors and permitted assigns.</w:t>
      </w:r>
    </w:p>
    <w:p w:rsidR="007130CD" w:rsidRPr="003E7FFC" w:rsidRDefault="007130CD">
      <w:pPr>
        <w:pStyle w:val="Heading2"/>
      </w:pPr>
      <w:r w:rsidRPr="003E7FFC">
        <w:rPr>
          <w:u w:val="single"/>
        </w:rPr>
        <w:t>Audit</w:t>
      </w:r>
      <w:r w:rsidR="0005163E" w:rsidRPr="004D0B8E">
        <w:rPr>
          <w:u w:val="single"/>
        </w:rPr>
        <w:fldChar w:fldCharType="begin"/>
      </w:r>
      <w:r w:rsidRPr="003E7FFC">
        <w:instrText xml:space="preserve"> TC </w:instrText>
      </w:r>
      <w:r w:rsidR="00A34C9E">
        <w:instrText>“</w:instrText>
      </w:r>
      <w:bookmarkStart w:id="60" w:name="_Toc64375718"/>
      <w:r w:rsidRPr="003E7FFC">
        <w:instrText>10.9</w:instrText>
      </w:r>
      <w:r w:rsidRPr="003E7FFC">
        <w:tab/>
        <w:instrText>Audit</w:instrText>
      </w:r>
      <w:bookmarkEnd w:id="60"/>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Each Party has the right, at its sole expense and during normal working hours, to examine the records of the other Party to the extent reasonably necessary to verify the accuracy of any statement, charge or computation made pursuant to this Master Agreement</w:t>
      </w:r>
      <w:r w:rsidR="002B35C9">
        <w:t xml:space="preserve">.  </w:t>
      </w:r>
      <w:r w:rsidRPr="003E7FFC">
        <w:t>If requested, a Party shall provide to the other Party statements evidencing the Quantity delivered at the Delivery Point</w:t>
      </w:r>
      <w:r w:rsidR="002B35C9">
        <w:t xml:space="preserve">.  </w:t>
      </w:r>
      <w:r w:rsidRPr="003E7FFC">
        <w:t>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rsidR="007130CD" w:rsidRPr="003E7FFC" w:rsidRDefault="007130CD">
      <w:pPr>
        <w:pStyle w:val="Heading2"/>
      </w:pPr>
      <w:r w:rsidRPr="003E7FFC">
        <w:rPr>
          <w:u w:val="single"/>
        </w:rPr>
        <w:t>Forward Contract</w:t>
      </w:r>
      <w:r w:rsidR="0005163E" w:rsidRPr="004D0B8E">
        <w:rPr>
          <w:u w:val="single"/>
        </w:rPr>
        <w:fldChar w:fldCharType="begin"/>
      </w:r>
      <w:r w:rsidRPr="003E7FFC">
        <w:instrText xml:space="preserve"> TC </w:instrText>
      </w:r>
      <w:r w:rsidR="00A34C9E">
        <w:instrText>“</w:instrText>
      </w:r>
      <w:bookmarkStart w:id="61" w:name="_Toc64375719"/>
      <w:r w:rsidRPr="003E7FFC">
        <w:instrText>10.10</w:instrText>
      </w:r>
      <w:r w:rsidRPr="003E7FFC">
        <w:tab/>
        <w:instrText>Forward Contract</w:instrText>
      </w:r>
      <w:bookmarkEnd w:id="61"/>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 xml:space="preserve">The Parties acknowledge and agree that all Transactions constitute </w:t>
      </w:r>
      <w:r w:rsidR="00A34C9E">
        <w:t>“</w:t>
      </w:r>
      <w:r w:rsidRPr="003E7FFC">
        <w:t>forward contracts</w:t>
      </w:r>
      <w:r w:rsidR="00A34C9E">
        <w:t>”</w:t>
      </w:r>
      <w:r w:rsidRPr="003E7FFC">
        <w:t xml:space="preserve"> within the meaning of the United States Bankruptcy Code</w:t>
      </w:r>
      <w:r w:rsidR="002B35C9">
        <w:t xml:space="preserve">.  </w:t>
      </w:r>
    </w:p>
    <w:p w:rsidR="007130CD" w:rsidRPr="003E7FFC" w:rsidRDefault="007130CD">
      <w:pPr>
        <w:pStyle w:val="Heading2"/>
      </w:pPr>
      <w:bookmarkStart w:id="62" w:name="DocXparanum"/>
      <w:bookmarkEnd w:id="62"/>
      <w:r w:rsidRPr="003E7FFC">
        <w:rPr>
          <w:u w:val="single"/>
        </w:rPr>
        <w:t>Confidentiality</w:t>
      </w:r>
      <w:r w:rsidR="0005163E" w:rsidRPr="004D0B8E">
        <w:rPr>
          <w:u w:val="single"/>
        </w:rPr>
        <w:fldChar w:fldCharType="begin"/>
      </w:r>
      <w:r w:rsidRPr="003E7FFC">
        <w:instrText xml:space="preserve"> TC </w:instrText>
      </w:r>
      <w:r w:rsidR="00A34C9E">
        <w:instrText>“</w:instrText>
      </w:r>
      <w:bookmarkStart w:id="63" w:name="_Toc64375720"/>
      <w:r w:rsidRPr="003E7FFC">
        <w:instrText>10.11</w:instrText>
      </w:r>
      <w:r w:rsidRPr="003E7FFC">
        <w:tab/>
        <w:instrText>Confidentiality</w:instrText>
      </w:r>
      <w:bookmarkEnd w:id="63"/>
      <w:r w:rsidR="00A34C9E">
        <w:instrText>”</w:instrText>
      </w:r>
      <w:r w:rsidRPr="003E7FFC">
        <w:instrText xml:space="preserve"> \f C \l </w:instrText>
      </w:r>
      <w:r w:rsidR="00A34C9E">
        <w:instrText>“</w:instrText>
      </w:r>
      <w:r w:rsidRPr="003E7FFC">
        <w:instrText>2</w:instrText>
      </w:r>
      <w:r w:rsidR="00A34C9E">
        <w:instrText>”</w:instrText>
      </w:r>
      <w:r w:rsidRPr="003E7FFC">
        <w:instrText xml:space="preserve"> </w:instrText>
      </w:r>
      <w:r w:rsidR="0005163E" w:rsidRPr="004D0B8E">
        <w:rPr>
          <w:u w:val="single"/>
        </w:rPr>
        <w:fldChar w:fldCharType="end"/>
      </w:r>
      <w:r w:rsidR="002B35C9">
        <w:t xml:space="preserve">.  </w:t>
      </w:r>
      <w:r w:rsidRPr="003E7FFC">
        <w:t>If the Parties have elected on the Cover Sheet to make this Section 10.11 applicable to this Master Agreement, neither Party shall disclose the terms or conditions of a Transaction under this Master Agreement to a third party (other than the Party</w:t>
      </w:r>
      <w:r w:rsidR="00A34C9E">
        <w:t>’</w:t>
      </w:r>
      <w:r w:rsidRPr="003E7FFC">
        <w:t>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w:t>
      </w:r>
      <w:r w:rsidR="002B35C9">
        <w:t xml:space="preserve">.  </w:t>
      </w:r>
      <w:r w:rsidRPr="003E7FFC">
        <w:t>The Parties shall be entitled to all remedies available at law or in equity to enforce, or seek relief in connection with, this confidentiality obligation.</w:t>
      </w:r>
    </w:p>
    <w:p w:rsidR="007130CD" w:rsidRPr="003E7FFC" w:rsidRDefault="007130CD">
      <w:pPr>
        <w:pStyle w:val="Title"/>
      </w:pPr>
      <w:r w:rsidRPr="003E7FFC">
        <w:br w:type="page"/>
      </w:r>
      <w:r w:rsidRPr="003E7FFC">
        <w:lastRenderedPageBreak/>
        <w:t>SCHEDULE M</w:t>
      </w:r>
      <w:r w:rsidR="0005163E" w:rsidRPr="004D0B8E">
        <w:fldChar w:fldCharType="begin"/>
      </w:r>
      <w:r w:rsidRPr="003E7FFC">
        <w:instrText xml:space="preserve"> TC </w:instrText>
      </w:r>
      <w:r w:rsidR="00A34C9E">
        <w:instrText>“</w:instrText>
      </w:r>
      <w:bookmarkStart w:id="64" w:name="_Toc64375721"/>
      <w:r w:rsidRPr="003E7FFC">
        <w:instrText>SCHEDULE M:  GOVERNMENTAL ENTITY OR PUBLIC POWER SYSTEMS</w:instrText>
      </w:r>
      <w:bookmarkEnd w:id="64"/>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rsidR="007130CD" w:rsidRPr="003E7FFC" w:rsidRDefault="007130CD">
      <w:pPr>
        <w:pStyle w:val="BlockTextBold"/>
      </w:pPr>
      <w:r w:rsidRPr="003E7FFC">
        <w:t>(THIS SCHEDULE IS INCLUDED IF THE APPROPRIATE BOX ON THE COVER SHEET IS MARKED INDICATING A PARTY IS A GOVERNMENTAL ENTITY OR PUBLIC POWER SYSTEM)</w:t>
      </w:r>
    </w:p>
    <w:p w:rsidR="007130CD" w:rsidRPr="003E7FFC" w:rsidRDefault="007130CD">
      <w:pPr>
        <w:pStyle w:val="BodyTextFirstIndent"/>
      </w:pPr>
      <w:r w:rsidRPr="003E7FFC">
        <w:rPr>
          <w:rStyle w:val="ParaNum"/>
        </w:rPr>
        <w:t>A.</w:t>
      </w:r>
      <w:r w:rsidRPr="003E7FFC">
        <w:tab/>
        <w:t>The Parties agree to add the following definitions in Article One.</w:t>
      </w:r>
    </w:p>
    <w:p w:rsidR="007130CD" w:rsidRPr="003E7FFC" w:rsidRDefault="00A34C9E">
      <w:pPr>
        <w:pStyle w:val="QuoteFirstIndent"/>
      </w:pPr>
      <w:r>
        <w:t>“</w:t>
      </w:r>
      <w:r w:rsidR="007130CD" w:rsidRPr="003E7FFC">
        <w:t>Act</w:t>
      </w:r>
      <w:r>
        <w:t>”</w:t>
      </w:r>
      <w:r w:rsidR="007130CD" w:rsidRPr="003E7FFC">
        <w:t xml:space="preserve"> means ______________________________.</w:t>
      </w:r>
      <w:r w:rsidR="007130CD" w:rsidRPr="003E7FFC">
        <w:rPr>
          <w:rStyle w:val="FootnoteReference"/>
        </w:rPr>
        <w:footnoteReference w:id="2"/>
      </w:r>
    </w:p>
    <w:p w:rsidR="007130CD" w:rsidRPr="003E7FFC" w:rsidRDefault="00A34C9E">
      <w:pPr>
        <w:pStyle w:val="QuoteFirstIndent"/>
      </w:pPr>
      <w:r>
        <w:t>“</w:t>
      </w:r>
      <w:r w:rsidR="007130CD" w:rsidRPr="003E7FFC">
        <w:t>Governmental Entity or Public Power System</w:t>
      </w:r>
      <w:r>
        <w:t>”</w:t>
      </w:r>
      <w:r w:rsidR="007130CD" w:rsidRPr="003E7FFC">
        <w:t xml:space="preserve"> means a municipality, county, governmental board, public power authority, public utility district, joint action agency, or other similar political subdivision or public entity of the United States, one or more States or territories or any combination thereof.</w:t>
      </w:r>
    </w:p>
    <w:p w:rsidR="007130CD" w:rsidRPr="003E7FFC" w:rsidRDefault="00A34C9E">
      <w:pPr>
        <w:pStyle w:val="QuoteFirstIndent"/>
      </w:pPr>
      <w:r>
        <w:t>“</w:t>
      </w:r>
      <w:r w:rsidR="007130CD" w:rsidRPr="003E7FFC">
        <w:t>Special Fund</w:t>
      </w:r>
      <w:r>
        <w:t>”</w:t>
      </w:r>
      <w:r w:rsidR="007130CD" w:rsidRPr="003E7FFC">
        <w:t xml:space="preserve"> means a fund or account of the Governmental Entity or Public Power System set aside and or pledged to satisfy the Public Power System</w:t>
      </w:r>
      <w:r>
        <w:t>’</w:t>
      </w:r>
      <w:r w:rsidR="007130CD" w:rsidRPr="003E7FFC">
        <w:t>s obligations hereunder out of which amounts shall be paid to satisfy all of the Public Power System</w:t>
      </w:r>
      <w:r>
        <w:t>’</w:t>
      </w:r>
      <w:r w:rsidR="007130CD" w:rsidRPr="003E7FFC">
        <w:t>s obligations under this Master Agreement for the entire Delivery Period.</w:t>
      </w:r>
    </w:p>
    <w:p w:rsidR="007130CD" w:rsidRPr="003E7FFC" w:rsidRDefault="007130CD">
      <w:pPr>
        <w:pStyle w:val="BodyTextFirstIndent"/>
      </w:pPr>
      <w:r w:rsidRPr="003E7FFC">
        <w:rPr>
          <w:rStyle w:val="ParaNum"/>
        </w:rPr>
        <w:t>B.</w:t>
      </w:r>
      <w:r w:rsidRPr="003E7FFC">
        <w:tab/>
        <w:t xml:space="preserve">The following sentence shall be added to the end of the definition of </w:t>
      </w:r>
      <w:r w:rsidR="00A34C9E">
        <w:t>“</w:t>
      </w:r>
      <w:r w:rsidRPr="003E7FFC">
        <w:t>Force Majeure</w:t>
      </w:r>
      <w:r w:rsidR="00A34C9E">
        <w:t>”</w:t>
      </w:r>
      <w:r w:rsidRPr="003E7FFC">
        <w:t xml:space="preserve"> in Article One.</w:t>
      </w:r>
    </w:p>
    <w:p w:rsidR="007130CD" w:rsidRPr="003E7FFC" w:rsidRDefault="007130CD">
      <w:pPr>
        <w:pStyle w:val="Quote"/>
      </w:pPr>
      <w:r w:rsidRPr="003E7FFC">
        <w:t>If the Claiming Party is a Governmental Entity or Public Power System, Force Majeure does not include any action taken by the Governmental Entity or Public Power System in its governmental capacity.</w:t>
      </w:r>
    </w:p>
    <w:p w:rsidR="007130CD" w:rsidRPr="003E7FFC" w:rsidRDefault="007130CD">
      <w:pPr>
        <w:pStyle w:val="BodyTextFirstIndent"/>
        <w:keepNext/>
      </w:pPr>
      <w:r w:rsidRPr="003E7FFC">
        <w:rPr>
          <w:rStyle w:val="ParaNum"/>
        </w:rPr>
        <w:t>C.</w:t>
      </w:r>
      <w:r w:rsidRPr="003E7FFC">
        <w:tab/>
        <w:t>The Parties agree to add the following representations and warranties to Section 10.2:</w:t>
      </w:r>
    </w:p>
    <w:p w:rsidR="007130CD" w:rsidRPr="003E7FFC" w:rsidRDefault="007130CD">
      <w:pPr>
        <w:pStyle w:val="QuoteFirstIndent"/>
      </w:pPr>
      <w:r w:rsidRPr="003E7FFC">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w:t>
      </w:r>
      <w:r w:rsidR="00A34C9E">
        <w:t>’</w:t>
      </w:r>
      <w:r w:rsidRPr="003E7FFC">
        <w:t xml:space="preserve">s ordinances, bylaws or other regulations, (ii) all persons making up the governing body of Governmental Entity or Public Power System are the duly elected or appointed incumbents in their positions and hold such </w:t>
      </w:r>
      <w:r w:rsidRPr="003E7FFC">
        <w:lastRenderedPageBreak/>
        <w:t>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w:t>
      </w:r>
      <w:r w:rsidR="00A34C9E">
        <w:t>’</w:t>
      </w:r>
      <w:r w:rsidRPr="003E7FFC">
        <w:t>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w:t>
      </w:r>
      <w:r w:rsidR="00A34C9E">
        <w:t>’</w:t>
      </w:r>
      <w:r w:rsidRPr="003E7FFC">
        <w:t xml:space="preserve">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rsidR="007130CD" w:rsidRPr="003E7FFC" w:rsidRDefault="007130CD">
      <w:pPr>
        <w:pStyle w:val="BodyTextFirstIndent"/>
        <w:keepNext/>
      </w:pPr>
      <w:r w:rsidRPr="003E7FFC">
        <w:rPr>
          <w:rStyle w:val="ParaNum"/>
        </w:rPr>
        <w:t>D.</w:t>
      </w:r>
      <w:r w:rsidRPr="003E7FFC">
        <w:tab/>
        <w:t>The Parties agree to add the following sections to Article Three:</w:t>
      </w:r>
    </w:p>
    <w:p w:rsidR="007130CD" w:rsidRPr="003E7FFC" w:rsidRDefault="007130CD">
      <w:pPr>
        <w:pStyle w:val="QuoteFirstIndent"/>
      </w:pPr>
      <w:r w:rsidRPr="003E7FFC">
        <w:t xml:space="preserve">Section </w:t>
      </w:r>
      <w:proofErr w:type="gramStart"/>
      <w:r w:rsidRPr="003E7FFC">
        <w:rPr>
          <w:rStyle w:val="ParaNum"/>
        </w:rPr>
        <w:t>3.4</w:t>
      </w:r>
      <w:r w:rsidRPr="003E7FFC">
        <w:t xml:space="preserve">  </w:t>
      </w:r>
      <w:r w:rsidRPr="003E7FFC">
        <w:rPr>
          <w:u w:val="single"/>
        </w:rPr>
        <w:t>Public</w:t>
      </w:r>
      <w:proofErr w:type="gramEnd"/>
      <w:r w:rsidRPr="003E7FFC">
        <w:rPr>
          <w:u w:val="single"/>
        </w:rPr>
        <w:t xml:space="preserve"> Power System</w:t>
      </w:r>
      <w:r w:rsidR="00A34C9E">
        <w:rPr>
          <w:u w:val="single"/>
        </w:rPr>
        <w:t>’</w:t>
      </w:r>
      <w:r w:rsidRPr="003E7FFC">
        <w:rPr>
          <w:u w:val="single"/>
        </w:rPr>
        <w:t>s Deliveries</w:t>
      </w:r>
      <w:r w:rsidR="002B35C9">
        <w:t xml:space="preserve">.  </w:t>
      </w:r>
      <w:r w:rsidRPr="003E7FFC">
        <w:t xml:space="preserve">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w:t>
      </w:r>
      <w:r w:rsidRPr="003E7FFC">
        <w:lastRenderedPageBreak/>
        <w:t>respect of the Act and all other relevant constitutional organic or other governing documents and applicable law.</w:t>
      </w:r>
    </w:p>
    <w:p w:rsidR="007130CD" w:rsidRPr="003E7FFC" w:rsidRDefault="007130CD">
      <w:pPr>
        <w:pStyle w:val="QuoteFirstIndent"/>
      </w:pPr>
      <w:r w:rsidRPr="003E7FFC">
        <w:t xml:space="preserve">Section </w:t>
      </w:r>
      <w:r w:rsidRPr="003E7FFC">
        <w:rPr>
          <w:rStyle w:val="ParaNum"/>
        </w:rPr>
        <w:t>3.5</w:t>
      </w:r>
      <w:r w:rsidRPr="003E7FFC">
        <w:t xml:space="preserve">   </w:t>
      </w:r>
      <w:r w:rsidRPr="003E7FFC">
        <w:rPr>
          <w:u w:val="single"/>
        </w:rPr>
        <w:t>No Immunity Claim</w:t>
      </w:r>
      <w:r w:rsidR="002B35C9">
        <w:t xml:space="preserve">.  </w:t>
      </w:r>
      <w:r w:rsidRPr="003E7FFC">
        <w:t>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rsidR="007130CD" w:rsidRPr="003E7FFC" w:rsidRDefault="007130CD">
      <w:pPr>
        <w:pStyle w:val="BodyTextFirstIndent"/>
        <w:keepNext/>
      </w:pPr>
      <w:r w:rsidRPr="003E7FFC">
        <w:rPr>
          <w:rStyle w:val="ParaNum"/>
        </w:rPr>
        <w:t>E.</w:t>
      </w:r>
      <w:r w:rsidRPr="003E7FFC">
        <w:tab/>
        <w:t>If the appropriate box is checked on the Cover Sheet, as an alternative to selecting one of the options under Section 8.3, the Parties agree to add the following section to Article Three:</w:t>
      </w:r>
    </w:p>
    <w:p w:rsidR="007130CD" w:rsidRPr="003E7FFC" w:rsidRDefault="007130CD">
      <w:pPr>
        <w:pStyle w:val="QuoteFirstIndent"/>
      </w:pPr>
      <w:r w:rsidRPr="003E7FFC">
        <w:t xml:space="preserve">Section </w:t>
      </w:r>
      <w:proofErr w:type="gramStart"/>
      <w:r w:rsidRPr="003E7FFC">
        <w:rPr>
          <w:rStyle w:val="ParaNum"/>
        </w:rPr>
        <w:t xml:space="preserve">3.6 </w:t>
      </w:r>
      <w:r w:rsidRPr="003E7FFC">
        <w:t xml:space="preserve"> </w:t>
      </w:r>
      <w:r w:rsidRPr="003E7FFC">
        <w:rPr>
          <w:u w:val="single"/>
        </w:rPr>
        <w:t>Governmental</w:t>
      </w:r>
      <w:proofErr w:type="gramEnd"/>
      <w:r w:rsidRPr="003E7FFC">
        <w:rPr>
          <w:u w:val="single"/>
        </w:rPr>
        <w:t xml:space="preserve"> Entity or Public Power System Security</w:t>
      </w:r>
      <w:r w:rsidR="002B35C9">
        <w:t xml:space="preserve">.  </w:t>
      </w:r>
      <w:r w:rsidRPr="003E7FFC">
        <w:t>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w:t>
      </w:r>
      <w:r w:rsidR="002B35C9">
        <w:t xml:space="preserve">.  </w:t>
      </w:r>
      <w:r w:rsidRPr="003E7FFC">
        <w:t>Governmental Entity or Public Power System shall have allocated to the Special Fund or its general funds a revenue base that is adequate to cover Public Power System</w:t>
      </w:r>
      <w:r w:rsidR="00A34C9E">
        <w:t>’</w:t>
      </w:r>
      <w:r w:rsidRPr="003E7FFC">
        <w:t>s payment obligations hereunder throughout the entire Delivery Period.</w:t>
      </w:r>
    </w:p>
    <w:p w:rsidR="007130CD" w:rsidRPr="003E7FFC" w:rsidRDefault="007130CD">
      <w:pPr>
        <w:pStyle w:val="BodyTextFirstIndent"/>
        <w:keepNext/>
      </w:pPr>
      <w:r w:rsidRPr="003E7FFC">
        <w:rPr>
          <w:rStyle w:val="ParaNum"/>
        </w:rPr>
        <w:t>F.</w:t>
      </w:r>
      <w:r w:rsidRPr="003E7FFC">
        <w:tab/>
        <w:t>If the appropriate box is checked on the Cover Sheet, the Parties agree to add the following section to Article Eight:</w:t>
      </w:r>
    </w:p>
    <w:p w:rsidR="007130CD" w:rsidRPr="003E7FFC" w:rsidRDefault="007130CD">
      <w:pPr>
        <w:pStyle w:val="QuoteFirstIndent"/>
      </w:pPr>
      <w:r w:rsidRPr="003E7FFC">
        <w:t xml:space="preserve">Section </w:t>
      </w:r>
      <w:proofErr w:type="gramStart"/>
      <w:r w:rsidRPr="003E7FFC">
        <w:rPr>
          <w:rStyle w:val="ParaNum"/>
        </w:rPr>
        <w:t>8.4</w:t>
      </w:r>
      <w:r w:rsidRPr="003E7FFC">
        <w:t xml:space="preserve">  </w:t>
      </w:r>
      <w:r w:rsidRPr="003E7FFC">
        <w:rPr>
          <w:u w:val="single"/>
        </w:rPr>
        <w:t>Governmental</w:t>
      </w:r>
      <w:proofErr w:type="gramEnd"/>
      <w:r w:rsidRPr="003E7FFC">
        <w:rPr>
          <w:u w:val="single"/>
        </w:rPr>
        <w:t xml:space="preserve"> Security</w:t>
      </w:r>
      <w:r w:rsidR="002B35C9">
        <w:t xml:space="preserve">.  </w:t>
      </w:r>
      <w:r w:rsidRPr="003E7FFC">
        <w:t>As security for payment and performance of Public Power System</w:t>
      </w:r>
      <w:r w:rsidR="00A34C9E">
        <w:t>’</w:t>
      </w:r>
      <w:r w:rsidRPr="003E7FFC">
        <w:t xml:space="preserve">s obligations hereunder, Public Power System hereby pledges, sets over, assigns and grants to the other Party a security interest in </w:t>
      </w:r>
      <w:proofErr w:type="gramStart"/>
      <w:r w:rsidRPr="003E7FFC">
        <w:t>all of</w:t>
      </w:r>
      <w:proofErr w:type="gramEnd"/>
      <w:r w:rsidRPr="003E7FFC">
        <w:t xml:space="preserve"> Public Power System</w:t>
      </w:r>
      <w:r w:rsidR="00A34C9E">
        <w:t>’</w:t>
      </w:r>
      <w:r w:rsidRPr="003E7FFC">
        <w:t>s right, title and interest in and to [specify collateral].</w:t>
      </w:r>
    </w:p>
    <w:p w:rsidR="007130CD" w:rsidRPr="003E7FFC" w:rsidRDefault="007130CD">
      <w:pPr>
        <w:pStyle w:val="BodyTextFirstIndent"/>
        <w:keepNext/>
      </w:pPr>
      <w:r w:rsidRPr="003E7FFC">
        <w:rPr>
          <w:rStyle w:val="ParaNum"/>
        </w:rPr>
        <w:lastRenderedPageBreak/>
        <w:t>G.</w:t>
      </w:r>
      <w:r w:rsidRPr="003E7FFC">
        <w:tab/>
        <w:t>The Parties agree to add the following sentence at the end of Section 10.6 - Governing Law:</w:t>
      </w:r>
    </w:p>
    <w:p w:rsidR="007130CD" w:rsidRPr="003E7FFC" w:rsidRDefault="007130CD">
      <w:pPr>
        <w:pStyle w:val="Quote"/>
      </w:pPr>
      <w:r w:rsidRPr="003E7FFC">
        <w:t>NOTWITHSTANDING THE FOREGOING, IN RESPECT OF THE APPLICABILITY OF THE ACT AS HEREIN PROVIDED, THE LAWS OF THE STATE OF _____________</w:t>
      </w:r>
      <w:r w:rsidRPr="003E7FFC">
        <w:rPr>
          <w:rStyle w:val="FootnoteReference"/>
        </w:rPr>
        <w:footnoteReference w:id="3"/>
      </w:r>
      <w:r w:rsidRPr="003E7FFC">
        <w:t xml:space="preserve"> SHALL APPLY.</w:t>
      </w:r>
    </w:p>
    <w:p w:rsidR="007130CD" w:rsidRPr="003E7FFC" w:rsidRDefault="007130CD">
      <w:pPr>
        <w:pStyle w:val="Title"/>
      </w:pPr>
      <w:r w:rsidRPr="003E7FFC">
        <w:br w:type="page"/>
      </w:r>
      <w:r w:rsidRPr="003E7FFC">
        <w:lastRenderedPageBreak/>
        <w:t>SCHEDULE P:  PRODUCTS AND RELATED DEFINITIONS</w:t>
      </w:r>
      <w:r w:rsidR="0005163E" w:rsidRPr="004D0B8E">
        <w:fldChar w:fldCharType="begin"/>
      </w:r>
      <w:r w:rsidRPr="003E7FFC">
        <w:instrText xml:space="preserve"> TC </w:instrText>
      </w:r>
      <w:r w:rsidR="00A34C9E">
        <w:instrText>“</w:instrText>
      </w:r>
      <w:bookmarkStart w:id="65" w:name="_Toc64375722"/>
      <w:r w:rsidRPr="003E7FFC">
        <w:instrText>SCHEDULE P:  PRODUCTS AND RELATED DEFINITIONS</w:instrText>
      </w:r>
      <w:bookmarkEnd w:id="65"/>
      <w:r w:rsidR="00A34C9E">
        <w:instrText>”</w:instrText>
      </w:r>
      <w:r w:rsidRPr="003E7FFC">
        <w:instrText xml:space="preserve"> \f C \l </w:instrText>
      </w:r>
      <w:r w:rsidR="00A34C9E">
        <w:instrText>“</w:instrText>
      </w:r>
      <w:r w:rsidRPr="003E7FFC">
        <w:instrText>1</w:instrText>
      </w:r>
      <w:r w:rsidR="00A34C9E">
        <w:instrText>”</w:instrText>
      </w:r>
      <w:r w:rsidRPr="003E7FFC">
        <w:instrText xml:space="preserve"> </w:instrText>
      </w:r>
      <w:r w:rsidR="0005163E" w:rsidRPr="004D0B8E">
        <w:fldChar w:fldCharType="end"/>
      </w:r>
    </w:p>
    <w:p w:rsidR="007130CD" w:rsidRPr="003E7FFC" w:rsidRDefault="00A34C9E">
      <w:pPr>
        <w:pStyle w:val="BodyTextFirstIndent"/>
      </w:pPr>
      <w:r>
        <w:t>“</w:t>
      </w:r>
      <w:r w:rsidR="007130CD" w:rsidRPr="003E7FFC">
        <w:t>Ancillary Services</w:t>
      </w:r>
      <w:r>
        <w:t>”</w:t>
      </w:r>
      <w:r w:rsidR="007130CD" w:rsidRPr="003E7FFC">
        <w:t xml:space="preserve"> means any of the services identified by a Transmission Provider in its transmission tariff as </w:t>
      </w:r>
      <w:r>
        <w:t>“</w:t>
      </w:r>
      <w:r w:rsidR="007130CD" w:rsidRPr="003E7FFC">
        <w:t>ancillary services</w:t>
      </w:r>
      <w:r>
        <w:t>”</w:t>
      </w:r>
      <w:r w:rsidR="007130CD" w:rsidRPr="003E7FFC">
        <w:t xml:space="preserve"> including, but not limited to, regulation and frequency response, energy imbalance, operating reserve-spinning and operating reserve-supplemental, as may be specified in the Transaction</w:t>
      </w:r>
      <w:r w:rsidR="002B35C9">
        <w:t xml:space="preserve">.  </w:t>
      </w:r>
    </w:p>
    <w:p w:rsidR="007130CD" w:rsidRPr="003E7FFC" w:rsidRDefault="00A34C9E">
      <w:pPr>
        <w:pStyle w:val="BodyTextFirstIndent"/>
      </w:pPr>
      <w:r>
        <w:t>“</w:t>
      </w:r>
      <w:r w:rsidR="007130CD" w:rsidRPr="003E7FFC">
        <w:t>Capacity</w:t>
      </w:r>
      <w:r>
        <w:t>”</w:t>
      </w:r>
      <w:r w:rsidR="007130CD" w:rsidRPr="003E7FFC">
        <w:t xml:space="preserve"> has the meaning specified in the Transaction.</w:t>
      </w:r>
    </w:p>
    <w:p w:rsidR="007130CD" w:rsidRPr="003E7FFC" w:rsidRDefault="00A34C9E">
      <w:pPr>
        <w:pStyle w:val="BodyTextFirstIndent"/>
      </w:pPr>
      <w:r>
        <w:t>“</w:t>
      </w:r>
      <w:r w:rsidR="007130CD" w:rsidRPr="003E7FFC">
        <w:t>Energy</w:t>
      </w:r>
      <w:r>
        <w:t>”</w:t>
      </w:r>
      <w:r w:rsidR="007130CD" w:rsidRPr="003E7FFC">
        <w:t xml:space="preserve"> means three-phase, 60-cycle alternating current electric energy, expressed in megawatt hours</w:t>
      </w:r>
      <w:r w:rsidR="002B35C9">
        <w:t xml:space="preserve">.  </w:t>
      </w:r>
    </w:p>
    <w:p w:rsidR="007130CD" w:rsidRPr="003E7FFC" w:rsidRDefault="00A34C9E">
      <w:pPr>
        <w:pStyle w:val="BodyTextFirstIndent"/>
      </w:pPr>
      <w:r>
        <w:t>“</w:t>
      </w:r>
      <w:r w:rsidR="007130CD" w:rsidRPr="003E7FFC">
        <w:t>Firm (LD)</w:t>
      </w:r>
      <w:r>
        <w:t>”</w:t>
      </w:r>
      <w:r w:rsidR="007130CD" w:rsidRPr="003E7FFC">
        <w:t xml:space="preserve"> means, with respect to a Transaction, that either Party shall be relieved of its obligations to sell and deliver or purchase and receive without liability only to the extent that, and for the period during which, such performance is prevented by Force Majeure</w:t>
      </w:r>
      <w:r w:rsidR="002B35C9">
        <w:t xml:space="preserve">.  </w:t>
      </w:r>
      <w:r w:rsidR="007130CD" w:rsidRPr="003E7FFC">
        <w:t>In the absence of Force Majeure, the Party to which performance is owed shall be entitled to receive from the Party which failed to deliver/receive an amount determined pursuant to Article Four.</w:t>
      </w:r>
    </w:p>
    <w:p w:rsidR="007130CD" w:rsidRPr="003E7FFC" w:rsidRDefault="00A34C9E">
      <w:pPr>
        <w:pStyle w:val="BodyTextFirstIndent"/>
      </w:pPr>
      <w:r>
        <w:t>“</w:t>
      </w:r>
      <w:r w:rsidR="007130CD" w:rsidRPr="003E7FFC">
        <w:t>Firm Transmission Contingent - Contract Path</w:t>
      </w:r>
      <w:r>
        <w:t>”</w:t>
      </w:r>
      <w:r w:rsidR="007130CD" w:rsidRPr="003E7FFC">
        <w:t xml:space="preserve">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w:t>
      </w:r>
      <w:r>
        <w:t>“</w:t>
      </w:r>
      <w:r w:rsidR="007130CD" w:rsidRPr="003E7FFC">
        <w:t>force majeure</w:t>
      </w:r>
      <w:r>
        <w:t>”</w:t>
      </w:r>
      <w:r w:rsidR="007130CD" w:rsidRPr="003E7FFC">
        <w:t xml:space="preserve"> or </w:t>
      </w:r>
      <w:r>
        <w:t>“</w:t>
      </w:r>
      <w:r w:rsidR="007130CD" w:rsidRPr="003E7FFC">
        <w:t>uncontrollable force</w:t>
      </w:r>
      <w:r>
        <w:t>”</w:t>
      </w:r>
      <w:r w:rsidR="007130CD" w:rsidRPr="003E7FFC">
        <w:t xml:space="preserve"> or a similar term as defined under the applicable transmission provider</w:t>
      </w:r>
      <w:r>
        <w:t>’</w:t>
      </w:r>
      <w:r w:rsidR="007130CD" w:rsidRPr="003E7FFC">
        <w:t>s tariff</w:t>
      </w:r>
      <w:r w:rsidR="002B35C9">
        <w:t xml:space="preserve">.  </w:t>
      </w:r>
      <w:r w:rsidR="007130CD" w:rsidRPr="003E7FFC">
        <w:t xml:space="preserve">This contingency shall excuse performance for the duration of the interruption or curtailment notwithstanding the provisions of the definition of </w:t>
      </w:r>
      <w:r>
        <w:t>“</w:t>
      </w:r>
      <w:r w:rsidR="007130CD" w:rsidRPr="003E7FFC">
        <w:t>Force Majeure</w:t>
      </w:r>
      <w:r>
        <w:t>”</w:t>
      </w:r>
      <w:r w:rsidR="007130CD" w:rsidRPr="003E7FFC">
        <w:t xml:space="preserve"> in Section 1.23 to the contrary.</w:t>
      </w:r>
    </w:p>
    <w:p w:rsidR="007130CD" w:rsidRPr="003E7FFC" w:rsidRDefault="00A34C9E">
      <w:pPr>
        <w:pStyle w:val="BodyTextFirstIndent"/>
      </w:pPr>
      <w:r>
        <w:t>“</w:t>
      </w:r>
      <w:r w:rsidR="007130CD" w:rsidRPr="003E7FFC">
        <w:t>Firm Transmission Contingent - Delivery Point</w:t>
      </w:r>
      <w:r>
        <w:t>”</w:t>
      </w:r>
      <w:r w:rsidR="007130CD" w:rsidRPr="003E7FFC">
        <w:t xml:space="preserve">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w:t>
      </w:r>
      <w:r>
        <w:t>“</w:t>
      </w:r>
      <w:r w:rsidR="007130CD" w:rsidRPr="003E7FFC">
        <w:t>force majeure</w:t>
      </w:r>
      <w:r>
        <w:t>”</w:t>
      </w:r>
      <w:r w:rsidR="007130CD" w:rsidRPr="003E7FFC">
        <w:t xml:space="preserve"> or </w:t>
      </w:r>
      <w:r>
        <w:t>“</w:t>
      </w:r>
      <w:r w:rsidR="007130CD" w:rsidRPr="003E7FFC">
        <w:t>uncontrollable force</w:t>
      </w:r>
      <w:r>
        <w:t>”</w:t>
      </w:r>
      <w:r w:rsidR="007130CD" w:rsidRPr="003E7FFC">
        <w:t xml:space="preserve"> or a similar term as defined under the applicable transmission provider</w:t>
      </w:r>
      <w:r>
        <w:t>’</w:t>
      </w:r>
      <w:r w:rsidR="007130CD" w:rsidRPr="003E7FFC">
        <w:t>s tariff</w:t>
      </w:r>
      <w:r w:rsidR="002B35C9">
        <w:t xml:space="preserve">.  </w:t>
      </w:r>
      <w:r w:rsidR="007130CD" w:rsidRPr="003E7FFC">
        <w:t xml:space="preserve">This transmission contingency excuses performance for the duration of the interruption or curtailment, notwithstanding the provisions of the definition of </w:t>
      </w:r>
      <w:r>
        <w:t>“</w:t>
      </w:r>
      <w:r w:rsidR="007130CD" w:rsidRPr="003E7FFC">
        <w:t>Force Majeure</w:t>
      </w:r>
      <w:r>
        <w:t>”</w:t>
      </w:r>
      <w:r w:rsidR="007130CD" w:rsidRPr="003E7FFC">
        <w:t xml:space="preserve"> in Section 1.23 to the contrary</w:t>
      </w:r>
      <w:r w:rsidR="002B35C9">
        <w:t xml:space="preserve">.  </w:t>
      </w:r>
      <w:r w:rsidR="007130CD" w:rsidRPr="003E7FFC">
        <w:t>Interruptions or curtailments of transmission other than the transmission either immediately to or from the Delivery Point shall not excuse performance</w:t>
      </w:r>
    </w:p>
    <w:p w:rsidR="007130CD" w:rsidRPr="003E7FFC" w:rsidRDefault="00A34C9E">
      <w:pPr>
        <w:pStyle w:val="BodyTextFirstIndent"/>
      </w:pPr>
      <w:r>
        <w:t>“</w:t>
      </w:r>
      <w:r w:rsidR="007130CD" w:rsidRPr="003E7FFC">
        <w:t>Firm (No Force Majeure)</w:t>
      </w:r>
      <w:r>
        <w:t>”</w:t>
      </w:r>
      <w:r w:rsidR="007130CD" w:rsidRPr="003E7FFC">
        <w:t xml:space="preserve"> means, with respect to a Transaction, that if either Party fails to perform its obligation to sell and deliver or purchase and receive the Product, the Party to which performance is owed shall be entitled to receive from the Party which failed to perform an </w:t>
      </w:r>
      <w:r w:rsidR="007130CD" w:rsidRPr="003E7FFC">
        <w:lastRenderedPageBreak/>
        <w:t>amount determined pursuant to Article Four</w:t>
      </w:r>
      <w:r w:rsidR="002B35C9">
        <w:t xml:space="preserve">.  </w:t>
      </w:r>
      <w:r w:rsidR="007130CD" w:rsidRPr="003E7FFC">
        <w:t>Force Majeure shall not excuse performance of a Firm (No Force Majeure) Transaction.</w:t>
      </w:r>
    </w:p>
    <w:p w:rsidR="007130CD" w:rsidRPr="003E7FFC" w:rsidRDefault="00A34C9E">
      <w:pPr>
        <w:pStyle w:val="BodyTextFirstIndent"/>
      </w:pPr>
      <w:r>
        <w:t>“</w:t>
      </w:r>
      <w:r w:rsidR="007130CD" w:rsidRPr="003E7FFC">
        <w:t xml:space="preserve">Into ______________ (the </w:t>
      </w:r>
      <w:r>
        <w:t>“</w:t>
      </w:r>
      <w:r w:rsidR="007130CD" w:rsidRPr="003E7FFC">
        <w:t>Receiving Transmission Provider</w:t>
      </w:r>
      <w:r>
        <w:t>”</w:t>
      </w:r>
      <w:r w:rsidR="007130CD" w:rsidRPr="003E7FFC">
        <w:t>), Seller</w:t>
      </w:r>
      <w:r>
        <w:t>’</w:t>
      </w:r>
      <w:r w:rsidR="007130CD" w:rsidRPr="003E7FFC">
        <w:t>s Daily Choice</w:t>
      </w:r>
      <w:r>
        <w:t>”</w:t>
      </w:r>
      <w:r w:rsidR="007130CD" w:rsidRPr="003E7FFC">
        <w:t xml:space="preserve"> means that, in accordance with the provisions set forth below, (1) the Product shall be scheduled and delivered to an interconnection or interface (</w:t>
      </w:r>
      <w:r>
        <w:t>“</w:t>
      </w:r>
      <w:r w:rsidR="007130CD" w:rsidRPr="003E7FFC">
        <w:t>Interface</w:t>
      </w:r>
      <w:r>
        <w:t>”</w:t>
      </w:r>
      <w:r w:rsidR="007130CD" w:rsidRPr="003E7FFC">
        <w:t>) either (a) on the Receiving Transmission Provider</w:t>
      </w:r>
      <w:r>
        <w:t>’</w:t>
      </w:r>
      <w:r w:rsidR="007130CD" w:rsidRPr="003E7FFC">
        <w:t>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w:t>
      </w:r>
      <w:r w:rsidR="002B35C9">
        <w:t xml:space="preserve">.  </w:t>
      </w:r>
      <w:r w:rsidR="007130CD" w:rsidRPr="003E7FFC">
        <w:t xml:space="preserve">An </w:t>
      </w:r>
      <w:r>
        <w:t>“</w:t>
      </w:r>
      <w:r w:rsidR="007130CD" w:rsidRPr="003E7FFC">
        <w:t>Into</w:t>
      </w:r>
      <w:r>
        <w:t>”</w:t>
      </w:r>
      <w:r w:rsidR="007130CD" w:rsidRPr="003E7FFC">
        <w:t xml:space="preserve"> Product shall be subject to the following provisions:</w:t>
      </w:r>
    </w:p>
    <w:p w:rsidR="007130CD" w:rsidRPr="003E7FFC" w:rsidRDefault="007130CD">
      <w:pPr>
        <w:pStyle w:val="BodyTextFirstIndent"/>
      </w:pPr>
      <w:r w:rsidRPr="003E7FFC">
        <w:rPr>
          <w:rStyle w:val="ParaNum"/>
        </w:rPr>
        <w:t>1.</w:t>
      </w:r>
      <w:r w:rsidRPr="003E7FFC">
        <w:tab/>
      </w:r>
      <w:r w:rsidRPr="003E7FFC">
        <w:rPr>
          <w:u w:val="single"/>
        </w:rPr>
        <w:t>Prescheduling and Notification</w:t>
      </w:r>
      <w:r w:rsidR="002B35C9">
        <w:t xml:space="preserve">.  </w:t>
      </w:r>
      <w:r w:rsidRPr="003E7FFC">
        <w:t>Subject to the provisions of Section 6, not later than the prescheduling deadline of 11:00 a.m</w:t>
      </w:r>
      <w:r w:rsidR="002B35C9">
        <w:t xml:space="preserve">.  </w:t>
      </w:r>
      <w:r w:rsidRPr="003E7FFC">
        <w:t>CPT on the Business Day before the next delivery day or as otherwise agreed to by Buyer and Seller, Seller shall notify Buyer (</w:t>
      </w:r>
      <w:r w:rsidR="00A34C9E">
        <w:t>“</w:t>
      </w:r>
      <w:r w:rsidRPr="003E7FFC">
        <w:t>Seller</w:t>
      </w:r>
      <w:r w:rsidR="00A34C9E">
        <w:t>’</w:t>
      </w:r>
      <w:r w:rsidRPr="003E7FFC">
        <w:t>s Notification</w:t>
      </w:r>
      <w:r w:rsidR="00A34C9E">
        <w:t>”</w:t>
      </w:r>
      <w:r w:rsidRPr="003E7FFC">
        <w:t>) of Seller</w:t>
      </w:r>
      <w:r w:rsidR="00A34C9E">
        <w:t>’</w:t>
      </w:r>
      <w:r w:rsidRPr="003E7FFC">
        <w:t xml:space="preserve">s immediate upstream counterparty and the Interface (the </w:t>
      </w:r>
      <w:r w:rsidR="00A34C9E">
        <w:t>“</w:t>
      </w:r>
      <w:r w:rsidRPr="003E7FFC">
        <w:t>Designated Interface</w:t>
      </w:r>
      <w:r w:rsidR="00A34C9E">
        <w:t>”</w:t>
      </w:r>
      <w:r w:rsidRPr="003E7FFC">
        <w:t>) where Seller shall deliver the Product for the next delivery day, and Buyer shall notify Seller of Buyer</w:t>
      </w:r>
      <w:r w:rsidR="00A34C9E">
        <w:t>’</w:t>
      </w:r>
      <w:r w:rsidRPr="003E7FFC">
        <w:t>s immediate downstream counterparty.</w:t>
      </w:r>
    </w:p>
    <w:p w:rsidR="007130CD" w:rsidRPr="003E7FFC" w:rsidRDefault="007130CD">
      <w:pPr>
        <w:pStyle w:val="BodyTextFirstIndent"/>
      </w:pPr>
      <w:r w:rsidRPr="003E7FFC">
        <w:rPr>
          <w:rStyle w:val="ParaNum"/>
        </w:rPr>
        <w:t>2.</w:t>
      </w:r>
      <w:r w:rsidRPr="003E7FFC">
        <w:tab/>
      </w:r>
      <w:r w:rsidRPr="003E7FFC">
        <w:rPr>
          <w:u w:val="single"/>
        </w:rPr>
        <w:t xml:space="preserve">Availability of </w:t>
      </w:r>
      <w:r w:rsidR="00A34C9E">
        <w:rPr>
          <w:u w:val="single"/>
        </w:rPr>
        <w:t>“</w:t>
      </w:r>
      <w:r w:rsidRPr="003E7FFC">
        <w:rPr>
          <w:u w:val="single"/>
        </w:rPr>
        <w:t>Firm Transmission</w:t>
      </w:r>
      <w:r w:rsidR="00A34C9E">
        <w:rPr>
          <w:u w:val="single"/>
        </w:rPr>
        <w:t>”</w:t>
      </w:r>
      <w:r w:rsidRPr="003E7FFC">
        <w:rPr>
          <w:u w:val="single"/>
        </w:rPr>
        <w:t xml:space="preserve"> to Buyer at Designated Interface; </w:t>
      </w:r>
      <w:r w:rsidR="00A34C9E">
        <w:rPr>
          <w:u w:val="single"/>
        </w:rPr>
        <w:t>“</w:t>
      </w:r>
      <w:r w:rsidRPr="003E7FFC">
        <w:rPr>
          <w:u w:val="single"/>
        </w:rPr>
        <w:t>Timely Request for Transmission,</w:t>
      </w:r>
      <w:r w:rsidR="00A34C9E">
        <w:rPr>
          <w:u w:val="single"/>
        </w:rPr>
        <w:t>”</w:t>
      </w:r>
      <w:r w:rsidRPr="003E7FFC">
        <w:rPr>
          <w:u w:val="single"/>
        </w:rPr>
        <w:t xml:space="preserve"> </w:t>
      </w:r>
      <w:r w:rsidR="00A34C9E">
        <w:rPr>
          <w:u w:val="single"/>
        </w:rPr>
        <w:t>“</w:t>
      </w:r>
      <w:r w:rsidRPr="003E7FFC">
        <w:rPr>
          <w:u w:val="single"/>
        </w:rPr>
        <w:t>ADI</w:t>
      </w:r>
      <w:r w:rsidR="00A34C9E">
        <w:rPr>
          <w:u w:val="single"/>
        </w:rPr>
        <w:t>”</w:t>
      </w:r>
      <w:r w:rsidRPr="003E7FFC">
        <w:rPr>
          <w:u w:val="single"/>
        </w:rPr>
        <w:t xml:space="preserve"> and </w:t>
      </w:r>
      <w:r w:rsidR="00A34C9E">
        <w:rPr>
          <w:u w:val="single"/>
        </w:rPr>
        <w:t>“</w:t>
      </w:r>
      <w:r w:rsidRPr="003E7FFC">
        <w:rPr>
          <w:u w:val="single"/>
        </w:rPr>
        <w:t>Available Transmission</w:t>
      </w:r>
      <w:r w:rsidRPr="003E7FFC">
        <w:t>.</w:t>
      </w:r>
      <w:r w:rsidR="00A34C9E">
        <w:rPr>
          <w:smallCaps/>
        </w:rPr>
        <w:t>”</w:t>
      </w:r>
      <w:r w:rsidRPr="003E7FFC">
        <w:t xml:space="preserve">  In determining availability to Buyer of next-day firm transmission (</w:t>
      </w:r>
      <w:r w:rsidR="00A34C9E">
        <w:t>“</w:t>
      </w:r>
      <w:r w:rsidRPr="003E7FFC">
        <w:t>Firm Transmission</w:t>
      </w:r>
      <w:r w:rsidR="00A34C9E">
        <w:t>”</w:t>
      </w:r>
      <w:r w:rsidRPr="003E7FFC">
        <w:t xml:space="preserve">) from the Designated Interface, a </w:t>
      </w:r>
      <w:r w:rsidR="00A34C9E">
        <w:t>“</w:t>
      </w:r>
      <w:r w:rsidRPr="003E7FFC">
        <w:t>Timely Request for Transmission</w:t>
      </w:r>
      <w:r w:rsidR="00A34C9E">
        <w:t>”</w:t>
      </w:r>
      <w:r w:rsidRPr="003E7FFC">
        <w:t xml:space="preserve"> shall mean a properly completed request for Firm Transmission made by Buyer in accordance with the controlling tariff procedures, which request shall be submitted to the Receiving Transmission Provider no later than 30 minutes after delivery of Seller</w:t>
      </w:r>
      <w:r w:rsidR="00A34C9E">
        <w:t>’</w:t>
      </w:r>
      <w:r w:rsidRPr="003E7FFC">
        <w:t>s Notification, provided, however, if the Receiving Transmission Provider is not accepting requests for Firm Transmission at the time of Seller</w:t>
      </w:r>
      <w:r w:rsidR="00A34C9E">
        <w:t>’</w:t>
      </w:r>
      <w:r w:rsidRPr="003E7FFC">
        <w:t>s Notification, then such request by Buyer shall be made within 30 minutes of the time when the Receiving Transmission Provider first opens thereafter for purposes of accepting requests for Firm Transmission.</w:t>
      </w:r>
    </w:p>
    <w:p w:rsidR="007130CD" w:rsidRPr="003E7FFC" w:rsidRDefault="007130CD">
      <w:pPr>
        <w:pStyle w:val="BodyTextFirstIndent"/>
      </w:pPr>
      <w:r w:rsidRPr="003E7FFC">
        <w:t xml:space="preserve">Pursuant to the terms hereof, delivery of the Product may under certain circumstances be </w:t>
      </w:r>
      <w:proofErr w:type="spellStart"/>
      <w:r w:rsidRPr="003E7FFC">
        <w:t>redesignated</w:t>
      </w:r>
      <w:proofErr w:type="spellEnd"/>
      <w:r w:rsidRPr="003E7FFC">
        <w:t xml:space="preserve"> to occur at an Interface other than the Designated Interface (any such alternate designated interface, an </w:t>
      </w:r>
      <w:r w:rsidR="00A34C9E">
        <w:t>“</w:t>
      </w:r>
      <w:r w:rsidRPr="003E7FFC">
        <w:t>ADI</w:t>
      </w:r>
      <w:r w:rsidR="00A34C9E">
        <w:t>”</w:t>
      </w:r>
      <w:r w:rsidRPr="003E7FFC">
        <w:t>) either (a) on the Receiving Transmission Provider</w:t>
      </w:r>
      <w:r w:rsidR="00A34C9E">
        <w:t>’</w:t>
      </w:r>
      <w:r w:rsidRPr="003E7FFC">
        <w:t xml:space="preserve">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w:t>
      </w:r>
      <w:r w:rsidR="00A34C9E">
        <w:t>“</w:t>
      </w:r>
      <w:r w:rsidRPr="003E7FFC">
        <w:t>Available Transmission</w:t>
      </w:r>
      <w:r w:rsidR="00A34C9E">
        <w:t>”</w:t>
      </w:r>
      <w:r w:rsidRPr="003E7FFC">
        <w:t>) within the Receiving Transmission Provider</w:t>
      </w:r>
      <w:r w:rsidR="00A34C9E">
        <w:t>’</w:t>
      </w:r>
      <w:r w:rsidRPr="003E7FFC">
        <w:t>s transmission system.</w:t>
      </w:r>
    </w:p>
    <w:p w:rsidR="007130CD" w:rsidRPr="003E7FFC" w:rsidRDefault="007130CD">
      <w:pPr>
        <w:pStyle w:val="BodyTextFirstIndent"/>
        <w:keepNext/>
      </w:pPr>
      <w:r w:rsidRPr="003E7FFC">
        <w:rPr>
          <w:rStyle w:val="ParaNum"/>
        </w:rPr>
        <w:t>3.</w:t>
      </w:r>
      <w:r w:rsidRPr="003E7FFC">
        <w:tab/>
      </w:r>
      <w:r w:rsidRPr="003E7FFC">
        <w:rPr>
          <w:u w:val="single"/>
        </w:rPr>
        <w:t>Rights of Buyer and Seller Depending Upon Availability of/Timely Request for Firm Transmission</w:t>
      </w:r>
      <w:r w:rsidR="002B35C9">
        <w:t xml:space="preserve">.  </w:t>
      </w:r>
    </w:p>
    <w:p w:rsidR="007130CD" w:rsidRPr="003E7FFC" w:rsidRDefault="007130CD" w:rsidP="001D20E7">
      <w:pPr>
        <w:pStyle w:val="BodyTextIndent"/>
      </w:pPr>
      <w:r w:rsidRPr="003E7FFC">
        <w:rPr>
          <w:rStyle w:val="ParaNum"/>
        </w:rPr>
        <w:t>A.</w:t>
      </w:r>
      <w:r w:rsidRPr="003E7FFC">
        <w:tab/>
      </w:r>
      <w:r w:rsidRPr="003E7FFC">
        <w:rPr>
          <w:u w:val="single"/>
        </w:rPr>
        <w:t xml:space="preserve">Timely Request for Firm Transmission made by Buyer, </w:t>
      </w:r>
      <w:proofErr w:type="gramStart"/>
      <w:r w:rsidRPr="003E7FFC">
        <w:rPr>
          <w:u w:val="single"/>
        </w:rPr>
        <w:t>Accepted</w:t>
      </w:r>
      <w:proofErr w:type="gramEnd"/>
      <w:r w:rsidRPr="003E7FFC">
        <w:rPr>
          <w:u w:val="single"/>
        </w:rPr>
        <w:t xml:space="preserve"> by the Receiving Transmission Provider and Purchased by Buyer</w:t>
      </w:r>
      <w:r w:rsidR="002B35C9">
        <w:t xml:space="preserve">.  </w:t>
      </w:r>
      <w:r w:rsidRPr="003E7FFC">
        <w:t xml:space="preserve">If a Timely Request for Firm Transmission is made by Buyer and is accepted by the Receiving </w:t>
      </w:r>
      <w:r w:rsidRPr="003E7FFC">
        <w:lastRenderedPageBreak/>
        <w:t xml:space="preserve">Transmission Provider and Buyer purchases such Firm Transmission, then Seller shall </w:t>
      </w:r>
      <w:proofErr w:type="gramStart"/>
      <w:r w:rsidRPr="003E7FFC">
        <w:t>deliver</w:t>
      </w:r>
      <w:proofErr w:type="gramEnd"/>
      <w:r w:rsidRPr="003E7FFC">
        <w:t xml:space="preserve"> and Buyer shall receive the Product at the Designated Interface</w:t>
      </w:r>
      <w:r w:rsidR="002B35C9">
        <w:t xml:space="preserve">.  </w:t>
      </w:r>
    </w:p>
    <w:p w:rsidR="007130CD" w:rsidRPr="003E7FFC" w:rsidRDefault="007130CD">
      <w:pPr>
        <w:pStyle w:val="BodyTextIndent2"/>
      </w:pPr>
      <w:r w:rsidRPr="003E7FFC">
        <w:rPr>
          <w:rStyle w:val="ParaNum"/>
        </w:rPr>
        <w:t>i.</w:t>
      </w:r>
      <w:r w:rsidRPr="003E7FFC">
        <w:tab/>
        <w:t>If the Firm Transmission purchased by Buyer within the Receiving Transmission Provider</w:t>
      </w:r>
      <w:r w:rsidR="00A34C9E">
        <w:t>’</w:t>
      </w:r>
      <w:r w:rsidRPr="003E7FFC">
        <w:t>s transmission system from the Designated Interface ceases to be available to Buyer for any reason, or if Seller is unable to deliver the Product at the Designated Interface for any reason except Buyer</w:t>
      </w:r>
      <w:r w:rsidR="00A34C9E">
        <w:t>’</w:t>
      </w:r>
      <w:r w:rsidRPr="003E7FFC">
        <w:t>s non-performance, then at Seller</w:t>
      </w:r>
      <w:r w:rsidR="00A34C9E">
        <w:t>’</w:t>
      </w:r>
      <w:r w:rsidRPr="003E7FFC">
        <w:t>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w:t>
      </w:r>
      <w:r w:rsidR="00A34C9E">
        <w:t>’</w:t>
      </w:r>
      <w:r w:rsidRPr="003E7FFC">
        <w:t>s purchase of Firm Transmission, or (b) require Buyer to purchase non-firm transmission, and schedule and deliver the affected portion of the Product on the basis of Buyer</w:t>
      </w:r>
      <w:r w:rsidR="00A34C9E">
        <w:t>’</w:t>
      </w:r>
      <w:r w:rsidRPr="003E7FFC">
        <w:t>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w:t>
      </w:r>
      <w:r w:rsidR="00A34C9E">
        <w:t>’</w:t>
      </w:r>
      <w:r w:rsidRPr="003E7FFC">
        <w:t>s purchase of such hourly firm transmission from the Designated Interface or an ADI designated by Seller</w:t>
      </w:r>
      <w:r w:rsidR="002B35C9">
        <w:t xml:space="preserve">.  </w:t>
      </w:r>
    </w:p>
    <w:p w:rsidR="007130CD" w:rsidRPr="003E7FFC" w:rsidRDefault="007130CD">
      <w:pPr>
        <w:pStyle w:val="BodyTextIndent2"/>
      </w:pPr>
      <w:r w:rsidRPr="003E7FFC">
        <w:rPr>
          <w:rStyle w:val="ParaNum"/>
        </w:rPr>
        <w:t>ii.</w:t>
      </w:r>
      <w:r w:rsidRPr="003E7FFC">
        <w:tab/>
        <w:t>If the Available Transmission utilized by Buyer as required by Seller pursuant to Section 3A(i) ceases to be available to Buyer for any reason, then Seller shall again have those alternatives stated in Section 3A(i) in order to satisfy its obligations.</w:t>
      </w:r>
    </w:p>
    <w:p w:rsidR="007130CD" w:rsidRPr="003E7FFC" w:rsidRDefault="007130CD">
      <w:pPr>
        <w:pStyle w:val="BodyTextIndent2"/>
      </w:pPr>
      <w:r w:rsidRPr="003E7FFC">
        <w:rPr>
          <w:rStyle w:val="ParaNum"/>
        </w:rPr>
        <w:t>iii.</w:t>
      </w:r>
      <w:r w:rsidRPr="003E7FFC">
        <w:tab/>
        <w:t>Seller</w:t>
      </w:r>
      <w:r w:rsidR="00A34C9E">
        <w:t>’</w:t>
      </w:r>
      <w:r w:rsidRPr="003E7FFC">
        <w:t>s obligation to schedule and deliver the Product at an ADI is subject to Buyer</w:t>
      </w:r>
      <w:r w:rsidR="00A34C9E">
        <w:t>’</w:t>
      </w:r>
      <w:r w:rsidRPr="003E7FFC">
        <w:t>s obligation referenced in Section 4B to cooperate reasonably therewith</w:t>
      </w:r>
      <w:r w:rsidR="002B35C9">
        <w:t xml:space="preserve">.  </w:t>
      </w:r>
      <w:r w:rsidRPr="003E7FFC">
        <w:t>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rsidR="007130CD" w:rsidRPr="003E7FFC" w:rsidRDefault="007130CD">
      <w:pPr>
        <w:pStyle w:val="BodyTextIndent2"/>
      </w:pPr>
      <w:r w:rsidRPr="003E7FFC">
        <w:rPr>
          <w:rStyle w:val="ParaNum"/>
        </w:rPr>
        <w:t>iv.</w:t>
      </w:r>
      <w:r w:rsidRPr="003E7FFC">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w:t>
      </w:r>
      <w:r w:rsidR="00A34C9E">
        <w:t>’</w:t>
      </w:r>
      <w:r w:rsidRPr="003E7FFC">
        <w:t>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w:t>
      </w:r>
      <w:r w:rsidR="002B35C9">
        <w:t xml:space="preserve">.  </w:t>
      </w:r>
      <w:r w:rsidRPr="003E7FFC">
        <w:t>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rsidR="007130CD" w:rsidRPr="003E7FFC" w:rsidRDefault="007130CD" w:rsidP="001D20E7">
      <w:pPr>
        <w:pStyle w:val="BodyTextIndent"/>
      </w:pPr>
      <w:r w:rsidRPr="003E7FFC">
        <w:rPr>
          <w:rStyle w:val="ParaNum"/>
        </w:rPr>
        <w:lastRenderedPageBreak/>
        <w:t>B.</w:t>
      </w:r>
      <w:r w:rsidRPr="003E7FFC">
        <w:tab/>
      </w:r>
      <w:r w:rsidRPr="003E7FFC">
        <w:rPr>
          <w:u w:val="single"/>
        </w:rPr>
        <w:t>Timely Request for Firm Transmission Made by Buyer but Rejected by the Receiving Transmission Provider</w:t>
      </w:r>
      <w:r w:rsidR="002B35C9">
        <w:t xml:space="preserve">.  </w:t>
      </w:r>
      <w:r w:rsidRPr="003E7FFC">
        <w:t>If Buyer</w:t>
      </w:r>
      <w:r w:rsidR="00A34C9E">
        <w:t>’</w:t>
      </w:r>
      <w:r w:rsidRPr="003E7FFC">
        <w:t>s Timely Request for Firm Transmission is rejected by the Receiving Transmission Provider because of unavailability of Firm Transmission from the Designated Interface, then Buyer shall notify Seller within 15 minutes after receipt of the Receiving Transmission Provider</w:t>
      </w:r>
      <w:r w:rsidR="00A34C9E">
        <w:t>’</w:t>
      </w:r>
      <w:r w:rsidRPr="003E7FFC">
        <w:t>s notice of rejection (</w:t>
      </w:r>
      <w:r w:rsidR="00A34C9E">
        <w:t>“</w:t>
      </w:r>
      <w:r w:rsidRPr="003E7FFC">
        <w:t>Buyer</w:t>
      </w:r>
      <w:r w:rsidR="00A34C9E">
        <w:t>’</w:t>
      </w:r>
      <w:r w:rsidRPr="003E7FFC">
        <w:t>s Rejection Notice</w:t>
      </w:r>
      <w:r w:rsidR="00A34C9E">
        <w:t>”</w:t>
      </w:r>
      <w:r w:rsidRPr="003E7FFC">
        <w:t>)</w:t>
      </w:r>
      <w:r w:rsidR="002B35C9">
        <w:t xml:space="preserve">.  </w:t>
      </w:r>
      <w:r w:rsidRPr="003E7FFC">
        <w:t>If Buyer timely notifies Seller of such unavailability of Firm Transmission from the Designated Interface, then Seller shall be obligated either (1) to the extent Firm Transmission is available to Buyer from an ADI on a day-ahead basis, to require Buyer to purchase (at Buyer</w:t>
      </w:r>
      <w:r w:rsidR="00A34C9E">
        <w:t>’</w:t>
      </w:r>
      <w:r w:rsidRPr="003E7FFC">
        <w:t>s own expense) such Firm Transmission from such ADI and schedule and deliver the Product to such ADI on the basis of Buyer</w:t>
      </w:r>
      <w:r w:rsidR="00A34C9E">
        <w:t>’</w:t>
      </w:r>
      <w:r w:rsidRPr="003E7FFC">
        <w:t>s purchase of Firm Transmission, and thereafter the provisions in Section 3A shall apply, or (2) to require Buyer to purchase (at Buyer</w:t>
      </w:r>
      <w:r w:rsidR="00A34C9E">
        <w:t>’</w:t>
      </w:r>
      <w:r w:rsidRPr="003E7FFC">
        <w:t>s own expense) non-firm transmission, and schedule and deliver the Product on the basis of Buyer</w:t>
      </w:r>
      <w:r w:rsidR="00A34C9E">
        <w:t>’</w:t>
      </w:r>
      <w:r w:rsidRPr="003E7FFC">
        <w:t>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w:t>
      </w:r>
      <w:r w:rsidR="00A34C9E">
        <w:t>’</w:t>
      </w:r>
      <w:r w:rsidRPr="003E7FFC">
        <w:t>s inability to deliver the Product as originally prescheduled</w:t>
      </w:r>
      <w:r w:rsidR="002B35C9">
        <w:t xml:space="preserve">.  </w:t>
      </w:r>
      <w:r w:rsidRPr="003E7FFC">
        <w:t>If Buyer fails to timely notify Seller of the unavailability of Firm Transmission, then Buyer shall bear the risk of interruption or curtailment of transmission from the Designated Interface, and the provisions of Section 3D shall apply.</w:t>
      </w:r>
    </w:p>
    <w:p w:rsidR="007130CD" w:rsidRPr="003E7FFC" w:rsidRDefault="007130CD" w:rsidP="001D20E7">
      <w:pPr>
        <w:pStyle w:val="BodyTextIndent"/>
      </w:pPr>
      <w:r w:rsidRPr="003E7FFC">
        <w:rPr>
          <w:rStyle w:val="ParaNum"/>
        </w:rPr>
        <w:t>C.</w:t>
      </w:r>
      <w:r w:rsidRPr="003E7FFC">
        <w:tab/>
      </w:r>
      <w:r w:rsidRPr="003E7FFC">
        <w:rPr>
          <w:u w:val="single"/>
        </w:rPr>
        <w:t xml:space="preserve">Timely Request for Firm Transmission Made by Buyer, </w:t>
      </w:r>
      <w:proofErr w:type="gramStart"/>
      <w:r w:rsidRPr="003E7FFC">
        <w:rPr>
          <w:u w:val="single"/>
        </w:rPr>
        <w:t>Accepted</w:t>
      </w:r>
      <w:proofErr w:type="gramEnd"/>
      <w:r w:rsidRPr="003E7FFC">
        <w:rPr>
          <w:u w:val="single"/>
        </w:rPr>
        <w:t xml:space="preserve"> by the Receiving Transmission Provider and not Purchased by Buyer</w:t>
      </w:r>
      <w:r w:rsidR="002B35C9">
        <w:t xml:space="preserve">.  </w:t>
      </w:r>
      <w:r w:rsidRPr="003E7FFC">
        <w:t>If Buyer</w:t>
      </w:r>
      <w:r w:rsidR="00A34C9E">
        <w:t>’</w:t>
      </w:r>
      <w:r w:rsidRPr="003E7FFC">
        <w:t>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w:t>
      </w:r>
      <w:r w:rsidR="002B35C9">
        <w:t xml:space="preserve">.  </w:t>
      </w:r>
      <w:r w:rsidRPr="003E7FFC">
        <w:t>In such circumstances, if Seller</w:t>
      </w:r>
      <w:r w:rsidR="00A34C9E">
        <w:t>’</w:t>
      </w:r>
      <w:r w:rsidRPr="003E7FFC">
        <w:t>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rsidR="007130CD" w:rsidRPr="003E7FFC" w:rsidRDefault="007130CD" w:rsidP="001D20E7">
      <w:pPr>
        <w:pStyle w:val="BodyTextIndent"/>
      </w:pPr>
      <w:r w:rsidRPr="003E7FFC">
        <w:rPr>
          <w:rStyle w:val="ParaNum"/>
        </w:rPr>
        <w:t>D.</w:t>
      </w:r>
      <w:r w:rsidRPr="003E7FFC">
        <w:tab/>
      </w:r>
      <w:r w:rsidRPr="003E7FFC">
        <w:rPr>
          <w:u w:val="single"/>
        </w:rPr>
        <w:t>No Timely Request for Firm Transmission Made by Buyer, or Buyer Fails to Timely Send Buyer</w:t>
      </w:r>
      <w:r w:rsidR="00A34C9E">
        <w:rPr>
          <w:u w:val="single"/>
        </w:rPr>
        <w:t>’</w:t>
      </w:r>
      <w:r w:rsidRPr="003E7FFC">
        <w:rPr>
          <w:u w:val="single"/>
        </w:rPr>
        <w:t>s Rejection Notice</w:t>
      </w:r>
      <w:r w:rsidR="002B35C9">
        <w:t xml:space="preserve">.  </w:t>
      </w:r>
      <w:r w:rsidRPr="003E7FFC">
        <w:t>If Buyer fails to make a Timely Request for Firm Transmission or Buyer fails to timely deliver Buyer</w:t>
      </w:r>
      <w:r w:rsidR="00A34C9E">
        <w:t>’</w:t>
      </w:r>
      <w:r w:rsidRPr="003E7FFC">
        <w:t>s Rejection Notice, then Buyer shall bear the risk of interruption or curtailment of transmission from the Designated Interface</w:t>
      </w:r>
      <w:r w:rsidR="002B35C9">
        <w:t xml:space="preserve">.  </w:t>
      </w:r>
      <w:r w:rsidRPr="003E7FFC">
        <w:t>In such circumstances, if Seller</w:t>
      </w:r>
      <w:r w:rsidR="00A34C9E">
        <w:t>’</w:t>
      </w:r>
      <w:r w:rsidRPr="003E7FFC">
        <w:t xml:space="preserve">s delivery is interrupted as a result of transmission relied upon by Buyer from the Designated Interface, then Seller shall be deemed to have satisfied its delivery obligations to Buyer, Buyer shall be deemed to have failed to receive the Product </w:t>
      </w:r>
      <w:r w:rsidRPr="003E7FFC">
        <w:lastRenderedPageBreak/>
        <w:t>and Buyer shall be liable to Seller for amounts determined pursuant to Article Four.</w:t>
      </w:r>
    </w:p>
    <w:p w:rsidR="007130CD" w:rsidRPr="003E7FFC" w:rsidRDefault="007130CD">
      <w:pPr>
        <w:pStyle w:val="BodyTextFirstIndent"/>
        <w:keepNext/>
      </w:pPr>
      <w:r w:rsidRPr="003E7FFC">
        <w:rPr>
          <w:rStyle w:val="ParaNum"/>
        </w:rPr>
        <w:t>4.</w:t>
      </w:r>
      <w:r w:rsidRPr="003E7FFC">
        <w:tab/>
      </w:r>
      <w:r w:rsidRPr="003E7FFC">
        <w:rPr>
          <w:u w:val="single"/>
        </w:rPr>
        <w:t>Transmission</w:t>
      </w:r>
      <w:r w:rsidR="002B35C9">
        <w:t xml:space="preserve">.  </w:t>
      </w:r>
    </w:p>
    <w:p w:rsidR="007130CD" w:rsidRPr="003E7FFC" w:rsidRDefault="007130CD" w:rsidP="001D20E7">
      <w:pPr>
        <w:pStyle w:val="BodyTextIndent"/>
      </w:pPr>
      <w:r w:rsidRPr="003E7FFC">
        <w:rPr>
          <w:rStyle w:val="ParaNum"/>
        </w:rPr>
        <w:t>A.</w:t>
      </w:r>
      <w:r w:rsidRPr="003E7FFC">
        <w:tab/>
      </w:r>
      <w:r w:rsidRPr="003E7FFC">
        <w:rPr>
          <w:u w:val="single"/>
        </w:rPr>
        <w:t>Seller</w:t>
      </w:r>
      <w:r w:rsidR="00A34C9E">
        <w:rPr>
          <w:u w:val="single"/>
        </w:rPr>
        <w:t>’</w:t>
      </w:r>
      <w:r w:rsidRPr="003E7FFC">
        <w:rPr>
          <w:u w:val="single"/>
        </w:rPr>
        <w:t>s Responsibilities</w:t>
      </w:r>
      <w:r w:rsidR="002B35C9">
        <w:t xml:space="preserve">.  </w:t>
      </w:r>
      <w:r w:rsidRPr="003E7FFC">
        <w:t xml:space="preserve">Seller shall be responsible for transmission required to deliver the Product to the Designated Interface or </w:t>
      </w:r>
      <w:proofErr w:type="gramStart"/>
      <w:r w:rsidRPr="003E7FFC">
        <w:t>ADI, as the case may be</w:t>
      </w:r>
      <w:proofErr w:type="gramEnd"/>
      <w:r w:rsidR="002B35C9">
        <w:t xml:space="preserve">.  </w:t>
      </w:r>
      <w:r w:rsidRPr="003E7FFC">
        <w:t>It is expressly agreed that Seller is not required to utilize Firm Transmission for its delivery obligations hereunder, and Seller shall bear the risk of utilizing non-firm transmission</w:t>
      </w:r>
      <w:r w:rsidR="002B35C9">
        <w:t xml:space="preserve">.  </w:t>
      </w:r>
      <w:r w:rsidRPr="003E7FFC">
        <w:t>If Seller</w:t>
      </w:r>
      <w:r w:rsidR="00A34C9E">
        <w:t>’</w:t>
      </w:r>
      <w:r w:rsidRPr="003E7FFC">
        <w:t>s scheduled delivery to Buyer is interrupted as a result of Buyer</w:t>
      </w:r>
      <w:r w:rsidR="00A34C9E">
        <w:t>’</w:t>
      </w:r>
      <w:r w:rsidRPr="003E7FFC">
        <w:t>s attempted transmission of the Product beyond the Receiving Transmission Provider</w:t>
      </w:r>
      <w:r w:rsidR="00A34C9E">
        <w:t>’</w:t>
      </w:r>
      <w:r w:rsidRPr="003E7FFC">
        <w:t>s system border, then Seller will be deemed to have satisfied its delivery obligations to Buyer, Buyer shall be deemed to have failed to receive the Product and Buyer shall be liable to Seller for damages pursuant to Article Four.</w:t>
      </w:r>
    </w:p>
    <w:p w:rsidR="007130CD" w:rsidRPr="003E7FFC" w:rsidRDefault="007130CD" w:rsidP="001D20E7">
      <w:pPr>
        <w:pStyle w:val="BodyTextIndent"/>
      </w:pPr>
      <w:r w:rsidRPr="003E7FFC">
        <w:rPr>
          <w:rStyle w:val="ParaNum"/>
        </w:rPr>
        <w:t>B.</w:t>
      </w:r>
      <w:r w:rsidRPr="003E7FFC">
        <w:tab/>
      </w:r>
      <w:r w:rsidRPr="003E7FFC">
        <w:rPr>
          <w:u w:val="single"/>
        </w:rPr>
        <w:t>Buyer</w:t>
      </w:r>
      <w:r w:rsidR="00A34C9E">
        <w:rPr>
          <w:u w:val="single"/>
        </w:rPr>
        <w:t>’</w:t>
      </w:r>
      <w:r w:rsidRPr="003E7FFC">
        <w:rPr>
          <w:u w:val="single"/>
        </w:rPr>
        <w:t>s Responsibilities</w:t>
      </w:r>
      <w:r w:rsidR="002B35C9">
        <w:t xml:space="preserve">.  </w:t>
      </w:r>
      <w:r w:rsidRPr="003E7FFC">
        <w:t>Buyer shall be responsible for transmission required to receive and transmit the Product at and from the Designated Interface or ADI</w:t>
      </w:r>
      <w:proofErr w:type="gramStart"/>
      <w:r w:rsidRPr="003E7FFC">
        <w:t>, as the case may be, and</w:t>
      </w:r>
      <w:proofErr w:type="gramEnd"/>
      <w:r w:rsidRPr="003E7FFC">
        <w:t xml:space="preserve"> except as specifically provided in Section 3A and 3B, shall be responsible for any costs associated with transmission therefrom</w:t>
      </w:r>
      <w:r w:rsidR="002B35C9">
        <w:t xml:space="preserve">.  </w:t>
      </w:r>
      <w:r w:rsidRPr="003E7FFC">
        <w:t>If Seller is attempting to complete the designation of an ADI as a result of Seller</w:t>
      </w:r>
      <w:r w:rsidR="00A34C9E">
        <w:t>’</w:t>
      </w:r>
      <w:r w:rsidRPr="003E7FFC">
        <w:t xml:space="preserve">s rights and obligations hereunder, Buyer shall co-operate reasonably with Seller in order to </w:t>
      </w:r>
      <w:proofErr w:type="gramStart"/>
      <w:r w:rsidRPr="003E7FFC">
        <w:t>effect</w:t>
      </w:r>
      <w:proofErr w:type="gramEnd"/>
      <w:r w:rsidRPr="003E7FFC">
        <w:t xml:space="preserve"> such alternate designation.</w:t>
      </w:r>
    </w:p>
    <w:p w:rsidR="007130CD" w:rsidRPr="003E7FFC" w:rsidRDefault="007130CD">
      <w:pPr>
        <w:pStyle w:val="BodyTextFirstIndent"/>
      </w:pPr>
      <w:r w:rsidRPr="003E7FFC">
        <w:rPr>
          <w:rStyle w:val="ParaNum"/>
        </w:rPr>
        <w:t>5.</w:t>
      </w:r>
      <w:r w:rsidRPr="003E7FFC">
        <w:tab/>
      </w:r>
      <w:r w:rsidRPr="003E7FFC">
        <w:rPr>
          <w:u w:val="single"/>
        </w:rPr>
        <w:t>Force Majeure</w:t>
      </w:r>
      <w:r w:rsidR="002B35C9">
        <w:t xml:space="preserve">.  </w:t>
      </w:r>
      <w:r w:rsidRPr="003E7FFC">
        <w:t xml:space="preserve">An </w:t>
      </w:r>
      <w:r w:rsidR="00A34C9E">
        <w:t>“</w:t>
      </w:r>
      <w:r w:rsidRPr="003E7FFC">
        <w:t>Into</w:t>
      </w:r>
      <w:r w:rsidR="00A34C9E">
        <w:t>”</w:t>
      </w:r>
      <w:r w:rsidRPr="003E7FFC">
        <w:t xml:space="preserve"> Product shall be subject to the </w:t>
      </w:r>
      <w:r w:rsidR="00A34C9E">
        <w:t>“</w:t>
      </w:r>
      <w:r w:rsidRPr="003E7FFC">
        <w:t>Force Majeure</w:t>
      </w:r>
      <w:r w:rsidR="00A34C9E">
        <w:t>”</w:t>
      </w:r>
      <w:r w:rsidRPr="003E7FFC">
        <w:t xml:space="preserve"> provisions in Section 1.23</w:t>
      </w:r>
      <w:r w:rsidR="002B35C9">
        <w:t xml:space="preserve">.  </w:t>
      </w:r>
    </w:p>
    <w:p w:rsidR="007130CD" w:rsidRPr="003E7FFC" w:rsidRDefault="007130CD">
      <w:pPr>
        <w:pStyle w:val="BodyTextFirstIndent"/>
      </w:pPr>
      <w:r w:rsidRPr="003E7FFC">
        <w:rPr>
          <w:rStyle w:val="ParaNum"/>
        </w:rPr>
        <w:t>6.</w:t>
      </w:r>
      <w:r w:rsidRPr="003E7FFC">
        <w:tab/>
      </w:r>
      <w:r w:rsidRPr="003E7FFC">
        <w:rPr>
          <w:u w:val="single"/>
        </w:rPr>
        <w:t>Multiple Parties in Delivery Chain Involving a Designated Interface</w:t>
      </w:r>
      <w:r w:rsidR="002B35C9">
        <w:t xml:space="preserve">.  </w:t>
      </w:r>
      <w:r w:rsidRPr="003E7FFC">
        <w:t>Seller and Buyer recognize that there may be multiple parties involved in the delivery and receipt of the Product at the Designated Interface or ADI to the extent that (1) Seller may be purchasing the Product from a succession of other sellers (</w:t>
      </w:r>
      <w:r w:rsidR="00A34C9E">
        <w:t>“</w:t>
      </w:r>
      <w:r w:rsidRPr="003E7FFC">
        <w:t>Other Sellers</w:t>
      </w:r>
      <w:r w:rsidR="00A34C9E">
        <w:t>”</w:t>
      </w:r>
      <w:r w:rsidRPr="003E7FFC">
        <w:t>), the first of which Other Sellers shall be causing the Product to be generated from a source (</w:t>
      </w:r>
      <w:r w:rsidR="00A34C9E">
        <w:t>“</w:t>
      </w:r>
      <w:r w:rsidRPr="003E7FFC">
        <w:t>Source Seller</w:t>
      </w:r>
      <w:r w:rsidR="00A34C9E">
        <w:t>”</w:t>
      </w:r>
      <w:r w:rsidRPr="003E7FFC">
        <w:t>) and/or (2) Buyer may be selling the Product to a succession of other buyers (</w:t>
      </w:r>
      <w:r w:rsidR="00A34C9E">
        <w:t>“</w:t>
      </w:r>
      <w:r w:rsidRPr="003E7FFC">
        <w:t>Other Buyers</w:t>
      </w:r>
      <w:r w:rsidR="00A34C9E">
        <w:t>”</w:t>
      </w:r>
      <w:r w:rsidRPr="003E7FFC">
        <w:t>), the last of which Other Buyers shall be using the Product to serve its energy needs (</w:t>
      </w:r>
      <w:r w:rsidR="00A34C9E">
        <w:t>“</w:t>
      </w:r>
      <w:r w:rsidRPr="003E7FFC">
        <w:t>Sink Buyer</w:t>
      </w:r>
      <w:r w:rsidR="00A34C9E">
        <w:t>”</w:t>
      </w:r>
      <w:r w:rsidRPr="003E7FFC">
        <w:t>)</w:t>
      </w:r>
      <w:r w:rsidR="002B35C9">
        <w:t xml:space="preserve">.  </w:t>
      </w:r>
      <w:r w:rsidRPr="003E7FFC">
        <w:t>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w:t>
      </w:r>
      <w:r w:rsidR="002B35C9">
        <w:t xml:space="preserve">.  </w:t>
      </w:r>
      <w:r w:rsidRPr="003E7FFC">
        <w:t>Accordingly, Seller and Buyer agree as follows:</w:t>
      </w:r>
    </w:p>
    <w:p w:rsidR="007130CD" w:rsidRPr="003E7FFC" w:rsidRDefault="007130CD" w:rsidP="001D20E7">
      <w:pPr>
        <w:pStyle w:val="BodyTextIndent"/>
      </w:pPr>
      <w:r w:rsidRPr="003E7FFC">
        <w:rPr>
          <w:rStyle w:val="ParaNum"/>
        </w:rPr>
        <w:t>A.</w:t>
      </w:r>
      <w:r w:rsidRPr="003E7FFC">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rsidR="007130CD" w:rsidRPr="003E7FFC" w:rsidRDefault="007130CD" w:rsidP="001D20E7">
      <w:pPr>
        <w:pStyle w:val="BodyTextIndent"/>
      </w:pPr>
      <w:r w:rsidRPr="003E7FFC">
        <w:rPr>
          <w:rStyle w:val="ParaNum"/>
        </w:rPr>
        <w:t>B.</w:t>
      </w:r>
      <w:r w:rsidRPr="003E7FFC">
        <w:tab/>
        <w:t xml:space="preserve">If Buyer is not the Sink Buyer, then Buyer shall notify the Other Buyer with whom Buyer has a contractual relationship of the Designated Interface </w:t>
      </w:r>
      <w:r w:rsidRPr="003E7FFC">
        <w:lastRenderedPageBreak/>
        <w:t>promptly after Seller notifies Buyer thereof, with the intent being that the party bearing actual responsibility to secure transmission shall have up to 30 minutes after receipt of the Designated Interface to submit its Timely Request for Firm Transmission.</w:t>
      </w:r>
    </w:p>
    <w:p w:rsidR="007130CD" w:rsidRPr="003E7FFC" w:rsidRDefault="007130CD" w:rsidP="001D20E7">
      <w:pPr>
        <w:pStyle w:val="BodyTextIndent"/>
      </w:pPr>
      <w:r w:rsidRPr="003E7FFC">
        <w:rPr>
          <w:rStyle w:val="ParaNum"/>
        </w:rPr>
        <w:t>C.</w:t>
      </w:r>
      <w:r w:rsidRPr="003E7FFC">
        <w:tab/>
        <w:t xml:space="preserve">Seller and Buyer each agree that any other communications or actions required to be given or made in connection with this </w:t>
      </w:r>
      <w:r w:rsidR="00A34C9E">
        <w:t>“</w:t>
      </w:r>
      <w:r w:rsidRPr="003E7FFC">
        <w:t>Into Product</w:t>
      </w:r>
      <w:r w:rsidR="00A34C9E">
        <w:t>”</w:t>
      </w:r>
      <w:r w:rsidRPr="003E7FFC">
        <w:t xml:space="preserve"> (including without limitation, information relating to an ADI) shall be made or taken promptly after receipt of the relevant information from the Other Sellers and Other Buyers, as the case may be.</w:t>
      </w:r>
    </w:p>
    <w:p w:rsidR="007130CD" w:rsidRPr="003E7FFC" w:rsidRDefault="007130CD" w:rsidP="001D20E7">
      <w:pPr>
        <w:pStyle w:val="BodyTextIndent"/>
      </w:pPr>
      <w:r w:rsidRPr="003E7FFC">
        <w:rPr>
          <w:rStyle w:val="ParaNum"/>
        </w:rPr>
        <w:t>D.</w:t>
      </w:r>
      <w:r w:rsidRPr="003E7FFC">
        <w:tab/>
        <w:t>Seller and Buyer each agree that in certain Transactions time is of the essence and it may be desirable to provide necessary information to Other Sellers and Other Buyers in order to complete the scheduling and delivery of the Product</w:t>
      </w:r>
      <w:r w:rsidR="002B35C9">
        <w:t xml:space="preserve">.  </w:t>
      </w:r>
      <w:r w:rsidRPr="003E7FFC">
        <w:t xml:space="preserve">Accordingly, Seller and Buyer agree that each has the right, but not the obligation, to provide information at its own risk to Other Sellers and Other Buyers, as the case may be, in order to </w:t>
      </w:r>
      <w:proofErr w:type="gramStart"/>
      <w:r w:rsidRPr="003E7FFC">
        <w:t>effect</w:t>
      </w:r>
      <w:proofErr w:type="gramEnd"/>
      <w:r w:rsidRPr="003E7FFC">
        <w:t xml:space="preserve"> the prescheduling, scheduling and delivery of the Product</w:t>
      </w:r>
    </w:p>
    <w:p w:rsidR="007130CD" w:rsidRPr="003E7FFC" w:rsidRDefault="00A34C9E">
      <w:pPr>
        <w:pStyle w:val="BodyTextFirstIndent"/>
      </w:pPr>
      <w:r>
        <w:t>“</w:t>
      </w:r>
      <w:r w:rsidR="007130CD" w:rsidRPr="003E7FFC">
        <w:t>Native Load</w:t>
      </w:r>
      <w:r>
        <w:t>”</w:t>
      </w:r>
      <w:r w:rsidR="007130CD" w:rsidRPr="003E7FFC">
        <w:t xml:space="preserve"> means the demand imposed on an electric utility or an entity by the requirements of retail customers located within a franchised service territory that the electric utility or entity has statutory obligation to serve.</w:t>
      </w:r>
    </w:p>
    <w:p w:rsidR="007130CD" w:rsidRPr="003E7FFC" w:rsidRDefault="00A34C9E">
      <w:pPr>
        <w:pStyle w:val="BodyTextFirstIndent"/>
      </w:pPr>
      <w:r>
        <w:t>“</w:t>
      </w:r>
      <w:r w:rsidR="007130CD" w:rsidRPr="003E7FFC">
        <w:t>Non-Firm</w:t>
      </w:r>
      <w:r>
        <w:t>”</w:t>
      </w:r>
      <w:r w:rsidR="007130CD" w:rsidRPr="003E7FFC">
        <w:t xml:space="preserve"> means, with respect to a Transaction, that delivery or receipt of the Product may be interrupted for any reason or for no reason, without liability on the part of either Party.</w:t>
      </w:r>
    </w:p>
    <w:p w:rsidR="007130CD" w:rsidRPr="003E7FFC" w:rsidRDefault="00A34C9E">
      <w:pPr>
        <w:pStyle w:val="BodyTextFirstIndent"/>
      </w:pPr>
      <w:r>
        <w:t>“</w:t>
      </w:r>
      <w:r w:rsidR="007130CD" w:rsidRPr="003E7FFC">
        <w:t>System Firm</w:t>
      </w:r>
      <w:r>
        <w:t>”</w:t>
      </w:r>
      <w:r w:rsidR="007130CD" w:rsidRPr="003E7FFC">
        <w:t xml:space="preserve"> means that the Product will be supplied from the owned or controlled generation or pre-existing purchased power assets of the system specified in the Transaction (the </w:t>
      </w:r>
      <w:r>
        <w:t>“</w:t>
      </w:r>
      <w:r w:rsidR="007130CD" w:rsidRPr="003E7FFC">
        <w:t>System</w:t>
      </w:r>
      <w:r>
        <w:t>”</w:t>
      </w:r>
      <w:r w:rsidR="007130CD" w:rsidRPr="003E7FFC">
        <w:t>) with non-firm transmission to and from the Delivery Point, unless a different Transmission Contingency is specified in a Transaction</w:t>
      </w:r>
      <w:r w:rsidR="002B35C9">
        <w:t xml:space="preserve">.  </w:t>
      </w:r>
      <w:r w:rsidR="007130CD" w:rsidRPr="003E7FFC">
        <w:t>Seller</w:t>
      </w:r>
      <w:r>
        <w:t>’</w:t>
      </w:r>
      <w:r w:rsidR="007130CD" w:rsidRPr="003E7FFC">
        <w:t>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w:t>
      </w:r>
      <w:r>
        <w:t>’</w:t>
      </w:r>
      <w:r w:rsidR="007130CD" w:rsidRPr="003E7FFC">
        <w:t>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w:t>
      </w:r>
      <w:r>
        <w:t>’</w:t>
      </w:r>
      <w:r w:rsidR="007130CD" w:rsidRPr="003E7FFC">
        <w:t xml:space="preserve">s, or the control </w:t>
      </w:r>
      <w:proofErr w:type="spellStart"/>
      <w:r w:rsidR="007130CD" w:rsidRPr="003E7FFC">
        <w:t>area</w:t>
      </w:r>
      <w:r>
        <w:t>’</w:t>
      </w:r>
      <w:r w:rsidR="007130CD" w:rsidRPr="003E7FFC">
        <w:t>s</w:t>
      </w:r>
      <w:proofErr w:type="spellEnd"/>
      <w:r w:rsidR="007130CD" w:rsidRPr="003E7FFC">
        <w:t>, or reliability council</w:t>
      </w:r>
      <w:r>
        <w:t>’</w:t>
      </w:r>
      <w:r w:rsidR="007130CD" w:rsidRPr="003E7FFC">
        <w:t>s reasonable judgment; or (v) by the interruption or curtailment of transmission to the Delivery Point or by the occurrence of any Transmission Contingency specified in a Transaction as excusing Seller</w:t>
      </w:r>
      <w:r>
        <w:t>’</w:t>
      </w:r>
      <w:r w:rsidR="007130CD" w:rsidRPr="003E7FFC">
        <w:t>s performance</w:t>
      </w:r>
      <w:r w:rsidR="002B35C9">
        <w:t xml:space="preserve">.  </w:t>
      </w:r>
      <w:r w:rsidR="007130CD" w:rsidRPr="003E7FFC">
        <w:t>Buyer</w:t>
      </w:r>
      <w:r>
        <w:t>’</w:t>
      </w:r>
      <w:r w:rsidR="007130CD" w:rsidRPr="003E7FFC">
        <w:t>s failure to receive shall be excused (i) by Force Majeure; (ii) by Seller</w:t>
      </w:r>
      <w:r>
        <w:t>’</w:t>
      </w:r>
      <w:r w:rsidR="007130CD" w:rsidRPr="003E7FFC">
        <w:t>s failure to perform, or (iii) by the interruption or curtailment of transmission from the Delivery Point or by the occurrence of any Transmission Contingency specified in a Transaction as excusing Buyer</w:t>
      </w:r>
      <w:r>
        <w:t>’</w:t>
      </w:r>
      <w:r w:rsidR="007130CD" w:rsidRPr="003E7FFC">
        <w:t>s performance</w:t>
      </w:r>
      <w:r w:rsidR="002B35C9">
        <w:t xml:space="preserve">.  </w:t>
      </w:r>
      <w:r w:rsidR="007130CD" w:rsidRPr="003E7FFC">
        <w:t>In any of such events, neither party shall be liable to the other for any damages, including any amounts determined pursuant to Article Four.</w:t>
      </w:r>
    </w:p>
    <w:p w:rsidR="007130CD" w:rsidRPr="003E7FFC" w:rsidRDefault="00A34C9E">
      <w:pPr>
        <w:pStyle w:val="BodyTextFirstIndent"/>
      </w:pPr>
      <w:r>
        <w:t>“</w:t>
      </w:r>
      <w:r w:rsidR="007130CD" w:rsidRPr="003E7FFC">
        <w:t>Transmission Contingent</w:t>
      </w:r>
      <w:r>
        <w:t>”</w:t>
      </w:r>
      <w:r w:rsidR="007130CD" w:rsidRPr="003E7FFC">
        <w:t xml:space="preserve"> means, with respect to a Transaction, that the performance of either Seller or Buyer (as specified in the Transaction) shall be excused, and no damages shall be payable including any amounts determined pursuant to Article Four, if the transmission for such </w:t>
      </w:r>
      <w:r w:rsidR="007130CD" w:rsidRPr="003E7FFC">
        <w:lastRenderedPageBreak/>
        <w:t xml:space="preserve">Transaction is unavailable or interrupted or curtailed for any reason, at </w:t>
      </w:r>
      <w:proofErr w:type="spellStart"/>
      <w:r w:rsidR="007130CD" w:rsidRPr="003E7FFC">
        <w:t>any time</w:t>
      </w:r>
      <w:proofErr w:type="spellEnd"/>
      <w:r w:rsidR="007130CD" w:rsidRPr="003E7FFC">
        <w:t>, anywhere from the Seller</w:t>
      </w:r>
      <w:r>
        <w:t>’</w:t>
      </w:r>
      <w:r w:rsidR="007130CD" w:rsidRPr="003E7FFC">
        <w:t>s proposed generating source to the Buyer</w:t>
      </w:r>
      <w:r>
        <w:t>’</w:t>
      </w:r>
      <w:r w:rsidR="007130CD" w:rsidRPr="003E7FFC">
        <w:t>s proposed ultimate sink, regardless of whether transmission, if any, that such Party is attempting to secure and/or has purchased for the Product is firm or non-firm</w:t>
      </w:r>
      <w:r w:rsidR="002B35C9">
        <w:t xml:space="preserve">.  </w:t>
      </w:r>
      <w:r w:rsidR="007130CD" w:rsidRPr="003E7FFC">
        <w:t xml:space="preserve">If the transmission (whether firm or non-firm) that Seller or Buyer is attempting to secure is from source to sink is unavailable, </w:t>
      </w:r>
      <w:proofErr w:type="gramStart"/>
      <w:r w:rsidR="007130CD" w:rsidRPr="003E7FFC">
        <w:t>this contingency excuses</w:t>
      </w:r>
      <w:proofErr w:type="gramEnd"/>
      <w:r w:rsidR="007130CD" w:rsidRPr="003E7FFC">
        <w:t xml:space="preserve"> performance for the entire Transaction</w:t>
      </w:r>
      <w:r w:rsidR="002B35C9">
        <w:t xml:space="preserve">.  </w:t>
      </w:r>
      <w:r w:rsidR="007130CD" w:rsidRPr="003E7FFC">
        <w:t xml:space="preserve">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w:t>
      </w:r>
      <w:r>
        <w:t>“</w:t>
      </w:r>
      <w:r w:rsidR="007130CD" w:rsidRPr="003E7FFC">
        <w:t>Force Majeure</w:t>
      </w:r>
      <w:r>
        <w:t>”</w:t>
      </w:r>
      <w:r w:rsidR="007130CD" w:rsidRPr="003E7FFC">
        <w:t xml:space="preserve"> in Article 1.23 to the contrary.</w:t>
      </w:r>
    </w:p>
    <w:p w:rsidR="007130CD" w:rsidRDefault="00A34C9E">
      <w:pPr>
        <w:pStyle w:val="BodyTextFirstIndent"/>
      </w:pPr>
      <w:r>
        <w:t>“</w:t>
      </w:r>
      <w:r w:rsidR="007130CD" w:rsidRPr="003E7FFC">
        <w:t>Unit Firm</w:t>
      </w:r>
      <w:r>
        <w:t>”</w:t>
      </w:r>
      <w:r w:rsidR="007130CD" w:rsidRPr="003E7FFC">
        <w:t xml:space="preserve"> means, with respect to a Transaction, that the Product subject to the Transaction is intended to be supplied from a generation asset or assets specified in the Transaction</w:t>
      </w:r>
      <w:r w:rsidR="002B35C9">
        <w:t xml:space="preserve">.  </w:t>
      </w:r>
      <w:r w:rsidR="007130CD" w:rsidRPr="003E7FFC">
        <w:t>Seller</w:t>
      </w:r>
      <w:r>
        <w:t>’</w:t>
      </w:r>
      <w:r w:rsidR="007130CD" w:rsidRPr="003E7FFC">
        <w:t xml:space="preserve">s failure to deliver under a </w:t>
      </w:r>
      <w:r>
        <w:t>“</w:t>
      </w:r>
      <w:r w:rsidR="007130CD" w:rsidRPr="003E7FFC">
        <w:t>Unit Firm</w:t>
      </w:r>
      <w:r>
        <w:t>”</w:t>
      </w:r>
      <w:r w:rsidR="007130CD" w:rsidRPr="003E7FFC">
        <w:t xml:space="preserve">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w:t>
      </w:r>
      <w:r>
        <w:t>’</w:t>
      </w:r>
      <w:r w:rsidR="007130CD" w:rsidRPr="003E7FFC">
        <w:t>s failure to perform</w:t>
      </w:r>
      <w:r w:rsidR="002B35C9">
        <w:t xml:space="preserve">.  </w:t>
      </w:r>
      <w:r w:rsidR="007130CD" w:rsidRPr="003E7FFC">
        <w:t>In any of such events, Seller shall not be liable to Buyer for any damages, including any amounts determined pursuant to Article Four</w:t>
      </w:r>
      <w:r w:rsidR="002B35C9">
        <w:t xml:space="preserve">.  </w:t>
      </w:r>
    </w:p>
    <w:p w:rsidR="007130CD" w:rsidRDefault="007130CD">
      <w:r>
        <w:t xml:space="preserve"> </w:t>
      </w:r>
    </w:p>
    <w:p w:rsidR="007130CD" w:rsidRDefault="007130CD"/>
    <w:sectPr w:rsidR="007130CD" w:rsidSect="00EF383F">
      <w:footerReference w:type="first" r:id="rId16"/>
      <w:pgSz w:w="12240" w:h="15840" w:code="1"/>
      <w:pgMar w:top="1142" w:right="1440" w:bottom="1440" w:left="1440" w:header="72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37F" w:rsidRDefault="00D9137F">
      <w:r>
        <w:separator/>
      </w:r>
    </w:p>
  </w:endnote>
  <w:endnote w:type="continuationSeparator" w:id="0">
    <w:p w:rsidR="00D9137F" w:rsidRDefault="00D9137F">
      <w:r>
        <w:continuationSeparator/>
      </w:r>
    </w:p>
  </w:endnote>
  <w:endnote w:type="continuationNotice" w:id="1">
    <w:p w:rsidR="00D9137F" w:rsidRDefault="00D91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D72" w:rsidRDefault="00770D72">
    <w:pPr>
      <w:pStyle w:val="Footer"/>
      <w:jc w:val="center"/>
      <w:rPr>
        <w:sz w:val="16"/>
      </w:rPr>
    </w:pPr>
    <w:r>
      <w:rPr>
        <w:sz w:val="16"/>
      </w:rPr>
      <w:t>Version 2.1 (modified 4/25/00)</w:t>
    </w:r>
  </w:p>
  <w:p w:rsidR="00770D72" w:rsidRDefault="00770D72">
    <w:pPr>
      <w:pStyle w:val="Footer"/>
      <w:jc w:val="center"/>
      <w:rPr>
        <w:sz w:val="16"/>
      </w:rPr>
    </w:pPr>
    <w:r>
      <w:rPr>
        <w:sz w:val="16"/>
      </w:rPr>
      <w:t>©COPYRIGHT 2000 by the Edison Electric Institute and National Energy Marketers Association</w:t>
    </w:r>
  </w:p>
  <w:p w:rsidR="00770D72" w:rsidRDefault="00770D72">
    <w:pPr>
      <w:pStyle w:val="Footer"/>
      <w:jc w:val="center"/>
      <w:rPr>
        <w:sz w:val="16"/>
      </w:rPr>
    </w:pPr>
  </w:p>
  <w:p w:rsidR="00770D72" w:rsidRDefault="00770D72">
    <w:pPr>
      <w:pStyle w:val="Footer"/>
      <w:rPr>
        <w:sz w:val="16"/>
      </w:rPr>
    </w:pPr>
    <w:r>
      <w:rPr>
        <w:sz w:val="16"/>
      </w:rPr>
      <w:t>ALL RIGHTS RESERVED UNDER U.S.  AND FOREIGN LAW, TREATIES AND CONVENTIONS</w:t>
    </w:r>
  </w:p>
  <w:p w:rsidR="00770D72" w:rsidRDefault="00770D72">
    <w:pPr>
      <w:pStyle w:val="Footer"/>
      <w:rPr>
        <w:sz w:val="16"/>
      </w:rPr>
    </w:pPr>
    <w:r>
      <w:rPr>
        <w:sz w:val="16"/>
      </w:rP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D72" w:rsidRDefault="00770D72">
    <w:pPr>
      <w:pStyle w:val="Footer"/>
    </w:pPr>
    <w:r>
      <w:t>Version 2.1 (modified 4/25/00)</w:t>
    </w:r>
  </w:p>
  <w:p w:rsidR="00770D72" w:rsidRDefault="00770D72">
    <w:pPr>
      <w:pStyle w:val="Footer"/>
    </w:pPr>
    <w:r>
      <w:t>©COPYRIGHT 2000 by the Edison Electric Institute and National Energy Marketers Association</w:t>
    </w:r>
  </w:p>
  <w:p w:rsidR="00770D72" w:rsidRDefault="00770D72">
    <w:pPr>
      <w:pStyle w:val="Footer"/>
    </w:pPr>
  </w:p>
  <w:p w:rsidR="00770D72" w:rsidRDefault="00770D72">
    <w:pPr>
      <w:pStyle w:val="Footer"/>
    </w:pPr>
    <w:r>
      <w:t>ALL RIGHTS RESERVED UNDER U.S.  AND FOREIGN LAW, TREATIES AND CONVENTIONS</w:t>
    </w:r>
  </w:p>
  <w:p w:rsidR="00770D72" w:rsidRDefault="00770D72">
    <w:pPr>
      <w:pStyle w:val="Footer"/>
    </w:pPr>
    <w:r>
      <w:t>AUTOMATIC LICENSE – PERMISSION OF THE COPYRIGHT OWNERS IS GRANTED FOR REPRODUCTION BY DOWNLOADING FROM A COMPUTER AND PRINTING ELECTRONIC COPIES OF THE WORK.  NO AUTHORIZED COPY MAY BE SOLD.  THE INDUSTRY IS ENCOURAGED TO USE THIS MASTER POWER PURCHASE AND SALE AGREEMENT IN ITS TRANSACTIONS.  ATTRIBUTION TO THE COPYRIGHT OWNERS IS REQUESTED.</w:t>
    </w:r>
  </w:p>
  <w:p w:rsidR="00770D72" w:rsidRDefault="00770D72">
    <w:pPr>
      <w:pStyle w:val="Footer"/>
      <w:rPr>
        <w:rStyle w:val="Doc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D72" w:rsidRDefault="00770D72" w:rsidP="00F85DC5">
    <w:pPr>
      <w:pStyle w:val="Footer"/>
      <w:tabs>
        <w:tab w:val="left" w:pos="187"/>
      </w:tabs>
      <w:rPr>
        <w:rStyle w:val="PageNumber"/>
      </w:rPr>
    </w:pP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p w:rsidR="00770D72" w:rsidRDefault="00770D72">
    <w:pPr>
      <w:pStyle w:val="Footer"/>
      <w:rPr>
        <w:rStyle w:val="PageNumber"/>
      </w:rPr>
    </w:pPr>
  </w:p>
  <w:p w:rsidR="00770D72" w:rsidRDefault="00770D72">
    <w:pPr>
      <w:pStyle w:val="Footer"/>
      <w:jc w:val="center"/>
      <w:rPr>
        <w:rStyle w:val="PageNumber"/>
        <w:sz w:val="16"/>
      </w:rPr>
    </w:pPr>
    <w:r>
      <w:rPr>
        <w:rStyle w:val="PageNumber"/>
        <w:sz w:val="16"/>
      </w:rPr>
      <w:t>Version 2.1 (modified 4/25/00)</w:t>
    </w:r>
  </w:p>
  <w:p w:rsidR="00770D72" w:rsidRDefault="00770D72">
    <w:pPr>
      <w:pStyle w:val="Footer"/>
      <w:jc w:val="center"/>
      <w:rPr>
        <w:sz w:val="16"/>
      </w:rPr>
    </w:pPr>
    <w:r>
      <w:rPr>
        <w:rStyle w:val="PageNumber"/>
        <w:sz w:val="16"/>
      </w:rPr>
      <w:t>©COPYRIGHT 2000 by the Edison Electric Institute and National Energy Marketers Association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D72" w:rsidRDefault="00770D7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D72" w:rsidRDefault="00770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37F" w:rsidRDefault="00D9137F">
      <w:r>
        <w:separator/>
      </w:r>
    </w:p>
  </w:footnote>
  <w:footnote w:type="continuationSeparator" w:id="0">
    <w:p w:rsidR="00D9137F" w:rsidRDefault="00D9137F">
      <w:r>
        <w:continuationSeparator/>
      </w:r>
    </w:p>
  </w:footnote>
  <w:footnote w:type="continuationNotice" w:id="1">
    <w:p w:rsidR="00D9137F" w:rsidRDefault="00D9137F"/>
  </w:footnote>
  <w:footnote w:id="2">
    <w:p w:rsidR="00770D72" w:rsidRDefault="00770D72">
      <w:pPr>
        <w:pStyle w:val="FootnoteText"/>
      </w:pPr>
      <w:r>
        <w:rPr>
          <w:rStyle w:val="FootnoteReference"/>
        </w:rPr>
        <w:footnoteRef/>
      </w:r>
      <w:r>
        <w:t xml:space="preserve"> </w:t>
      </w:r>
      <w:r>
        <w:tab/>
        <w:t>Cite the state enabling and other relevant statutes applicable to Governmental Entity or Public Power System.</w:t>
      </w:r>
    </w:p>
  </w:footnote>
  <w:footnote w:id="3">
    <w:p w:rsidR="00770D72" w:rsidRDefault="00770D72">
      <w:pPr>
        <w:pStyle w:val="FootnoteText"/>
      </w:pPr>
      <w:r>
        <w:rPr>
          <w:rStyle w:val="FootnoteReference"/>
        </w:rPr>
        <w:footnoteRef/>
      </w:r>
      <w:r>
        <w:t xml:space="preserve"> </w:t>
      </w:r>
      <w:r>
        <w:tab/>
        <w:t>Insert relevant state for Governmental Entity or Public Power System.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C15" w:rsidRDefault="00316C15" w:rsidP="00316C15">
    <w:pPr>
      <w:pStyle w:val="Header"/>
      <w:rPr>
        <w:color w:val="FF0000"/>
        <w:sz w:val="20"/>
      </w:rPr>
    </w:pPr>
    <w:r w:rsidRPr="00BA7F78">
      <w:rPr>
        <w:color w:val="FF0000"/>
        <w:sz w:val="20"/>
      </w:rPr>
      <w:t xml:space="preserve">Posted: </w:t>
    </w:r>
    <w:r w:rsidR="00E23208">
      <w:rPr>
        <w:color w:val="FF0000"/>
        <w:sz w:val="20"/>
      </w:rPr>
      <w:t>February 16, 2021</w:t>
    </w:r>
  </w:p>
  <w:p w:rsidR="00770D72" w:rsidRPr="00316C15" w:rsidRDefault="00770D72" w:rsidP="00316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D72" w:rsidRDefault="00770D72" w:rsidP="00E9566A">
    <w:pPr>
      <w:pStyle w:val="Header"/>
      <w:rPr>
        <w:color w:val="FF0000"/>
        <w:sz w:val="20"/>
      </w:rPr>
    </w:pPr>
    <w:r w:rsidRPr="00BA7F78">
      <w:rPr>
        <w:color w:val="FF0000"/>
        <w:sz w:val="20"/>
      </w:rPr>
      <w:t xml:space="preserve">Posted: </w:t>
    </w:r>
    <w:r w:rsidR="00E23208">
      <w:rPr>
        <w:color w:val="FF0000"/>
        <w:sz w:val="20"/>
      </w:rPr>
      <w:t>February</w:t>
    </w:r>
    <w:r w:rsidR="003A60A4">
      <w:rPr>
        <w:color w:val="FF0000"/>
        <w:sz w:val="20"/>
      </w:rPr>
      <w:t xml:space="preserve"> 1</w:t>
    </w:r>
    <w:r w:rsidR="00E23208">
      <w:rPr>
        <w:color w:val="FF0000"/>
        <w:sz w:val="20"/>
      </w:rPr>
      <w:t>6</w:t>
    </w:r>
    <w:r w:rsidR="00316C15">
      <w:rPr>
        <w:color w:val="FF0000"/>
        <w:sz w:val="20"/>
      </w:rPr>
      <w:t>, 202</w:t>
    </w:r>
    <w:r w:rsidR="00E23208">
      <w:rPr>
        <w:color w:val="FF0000"/>
        <w:sz w:val="20"/>
      </w:rPr>
      <w:t>1</w:t>
    </w:r>
  </w:p>
  <w:p w:rsidR="00770D72" w:rsidRPr="00BA7F78" w:rsidRDefault="00770D72" w:rsidP="00E9566A">
    <w:pPr>
      <w:pStyle w:val="Header"/>
      <w:rPr>
        <w:sz w:val="20"/>
      </w:rPr>
    </w:pPr>
  </w:p>
  <w:p w:rsidR="00770D72" w:rsidRDefault="0077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BA67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5420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B4ED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C08DB0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19EA76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EA2E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CAFB9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60A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55CAA"/>
    <w:multiLevelType w:val="multilevel"/>
    <w:tmpl w:val="56C06A1E"/>
    <w:lvl w:ilvl="0">
      <w:start w:val="6"/>
      <w:numFmt w:val="decimal"/>
      <w:lvlText w:val="%1"/>
      <w:lvlJc w:val="left"/>
      <w:pPr>
        <w:tabs>
          <w:tab w:val="num" w:pos="675"/>
        </w:tabs>
        <w:ind w:left="675" w:hanging="675"/>
      </w:pPr>
      <w:rPr>
        <w:rFonts w:hint="default"/>
      </w:rPr>
    </w:lvl>
    <w:lvl w:ilvl="1">
      <w:start w:val="9"/>
      <w:numFmt w:val="decimal"/>
      <w:lvlText w:val="%1.%2"/>
      <w:lvlJc w:val="left"/>
      <w:pPr>
        <w:tabs>
          <w:tab w:val="num" w:pos="1441"/>
        </w:tabs>
        <w:ind w:left="1441" w:hanging="675"/>
      </w:pPr>
      <w:rPr>
        <w:rFonts w:hint="default"/>
      </w:rPr>
    </w:lvl>
    <w:lvl w:ilvl="2">
      <w:start w:val="1"/>
      <w:numFmt w:val="decimal"/>
      <w:lvlText w:val="%1.%2.%3"/>
      <w:lvlJc w:val="left"/>
      <w:pPr>
        <w:tabs>
          <w:tab w:val="num" w:pos="2252"/>
        </w:tabs>
        <w:ind w:left="2252" w:hanging="720"/>
      </w:pPr>
      <w:rPr>
        <w:rFonts w:hint="default"/>
      </w:rPr>
    </w:lvl>
    <w:lvl w:ilvl="3">
      <w:start w:val="1"/>
      <w:numFmt w:val="decimal"/>
      <w:lvlText w:val="%1.%2.%3.%4"/>
      <w:lvlJc w:val="left"/>
      <w:pPr>
        <w:tabs>
          <w:tab w:val="num" w:pos="3018"/>
        </w:tabs>
        <w:ind w:left="3018" w:hanging="720"/>
      </w:pPr>
      <w:rPr>
        <w:rFonts w:hint="default"/>
      </w:rPr>
    </w:lvl>
    <w:lvl w:ilvl="4">
      <w:start w:val="1"/>
      <w:numFmt w:val="decimal"/>
      <w:lvlText w:val="%1.%2.%3.%4.%5"/>
      <w:lvlJc w:val="left"/>
      <w:pPr>
        <w:tabs>
          <w:tab w:val="num" w:pos="3784"/>
        </w:tabs>
        <w:ind w:left="3784" w:hanging="720"/>
      </w:pPr>
      <w:rPr>
        <w:rFonts w:hint="default"/>
      </w:rPr>
    </w:lvl>
    <w:lvl w:ilvl="5">
      <w:start w:val="1"/>
      <w:numFmt w:val="decimal"/>
      <w:lvlText w:val="%1.%2.%3.%4.%5.%6"/>
      <w:lvlJc w:val="left"/>
      <w:pPr>
        <w:tabs>
          <w:tab w:val="num" w:pos="4910"/>
        </w:tabs>
        <w:ind w:left="4910" w:hanging="1080"/>
      </w:pPr>
      <w:rPr>
        <w:rFonts w:hint="default"/>
      </w:rPr>
    </w:lvl>
    <w:lvl w:ilvl="6">
      <w:start w:val="1"/>
      <w:numFmt w:val="decimal"/>
      <w:lvlText w:val="%1.%2.%3.%4.%5.%6.%7"/>
      <w:lvlJc w:val="left"/>
      <w:pPr>
        <w:tabs>
          <w:tab w:val="num" w:pos="5676"/>
        </w:tabs>
        <w:ind w:left="5676" w:hanging="1080"/>
      </w:pPr>
      <w:rPr>
        <w:rFonts w:hint="default"/>
      </w:rPr>
    </w:lvl>
    <w:lvl w:ilvl="7">
      <w:start w:val="1"/>
      <w:numFmt w:val="decimal"/>
      <w:lvlText w:val="%1.%2.%3.%4.%5.%6.%7.%8"/>
      <w:lvlJc w:val="left"/>
      <w:pPr>
        <w:tabs>
          <w:tab w:val="num" w:pos="6802"/>
        </w:tabs>
        <w:ind w:left="6802" w:hanging="1440"/>
      </w:pPr>
      <w:rPr>
        <w:rFonts w:hint="default"/>
      </w:rPr>
    </w:lvl>
    <w:lvl w:ilvl="8">
      <w:start w:val="1"/>
      <w:numFmt w:val="decimal"/>
      <w:lvlText w:val="%1.%2.%3.%4.%5.%6.%7.%8.%9"/>
      <w:lvlJc w:val="left"/>
      <w:pPr>
        <w:tabs>
          <w:tab w:val="num" w:pos="7568"/>
        </w:tabs>
        <w:ind w:left="7568" w:hanging="1440"/>
      </w:pPr>
      <w:rPr>
        <w:rFonts w:hint="default"/>
      </w:rPr>
    </w:lvl>
  </w:abstractNum>
  <w:abstractNum w:abstractNumId="11" w15:restartNumberingAfterBreak="0">
    <w:nsid w:val="0DCA3E03"/>
    <w:multiLevelType w:val="hybridMultilevel"/>
    <w:tmpl w:val="35B01F8E"/>
    <w:lvl w:ilvl="0" w:tplc="FF422454">
      <w:start w:val="9"/>
      <w:numFmt w:val="decimal"/>
      <w:lvlText w:val="%1."/>
      <w:lvlJc w:val="left"/>
      <w:pPr>
        <w:tabs>
          <w:tab w:val="num" w:pos="752"/>
        </w:tabs>
        <w:ind w:left="752" w:hanging="360"/>
      </w:pPr>
      <w:rPr>
        <w:rFonts w:hint="default"/>
      </w:r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12" w15:restartNumberingAfterBreak="0">
    <w:nsid w:val="0EF507AA"/>
    <w:multiLevelType w:val="hybridMultilevel"/>
    <w:tmpl w:val="871C9E44"/>
    <w:lvl w:ilvl="0" w:tplc="BF1E9D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3E279E"/>
    <w:multiLevelType w:val="hybridMultilevel"/>
    <w:tmpl w:val="8F6A4796"/>
    <w:lvl w:ilvl="0" w:tplc="FEB29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7FD7878"/>
    <w:multiLevelType w:val="multilevel"/>
    <w:tmpl w:val="B2ACE6FC"/>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836DD5"/>
    <w:multiLevelType w:val="hybridMultilevel"/>
    <w:tmpl w:val="586207AA"/>
    <w:lvl w:ilvl="0" w:tplc="72D843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7F1A6C"/>
    <w:multiLevelType w:val="multilevel"/>
    <w:tmpl w:val="233276F0"/>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810"/>
        </w:tabs>
        <w:ind w:left="-27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2160" w:hanging="720"/>
      </w:pPr>
      <w:rPr>
        <w:rFonts w:ascii="Times New Roman" w:hAnsi="Times New Roman" w:hint="default"/>
        <w:b w:val="0"/>
        <w:i w:val="0"/>
        <w:sz w:val="24"/>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5A6772DA"/>
    <w:multiLevelType w:val="hybridMultilevel"/>
    <w:tmpl w:val="04F8EA7A"/>
    <w:lvl w:ilvl="0" w:tplc="6FAEED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7152805"/>
    <w:multiLevelType w:val="multilevel"/>
    <w:tmpl w:val="F048A3FA"/>
    <w:lvl w:ilvl="0">
      <w:start w:val="1"/>
      <w:numFmt w:val="decimal"/>
      <w:lvlText w:val="%1"/>
      <w:lvlJc w:val="left"/>
      <w:pPr>
        <w:tabs>
          <w:tab w:val="num" w:pos="660"/>
        </w:tabs>
        <w:ind w:left="660" w:hanging="660"/>
      </w:pPr>
      <w:rPr>
        <w:rFonts w:hint="default"/>
      </w:rPr>
    </w:lvl>
    <w:lvl w:ilvl="1">
      <w:start w:val="12"/>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78AC282B"/>
    <w:multiLevelType w:val="hybridMultilevel"/>
    <w:tmpl w:val="B8DA28D4"/>
    <w:lvl w:ilvl="0" w:tplc="61DA49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99403D8"/>
    <w:multiLevelType w:val="hybridMultilevel"/>
    <w:tmpl w:val="7F30EA5C"/>
    <w:lvl w:ilvl="0" w:tplc="353E1B52">
      <w:start w:val="7"/>
      <w:numFmt w:val="decimal"/>
      <w:lvlText w:val="%1."/>
      <w:lvlJc w:val="left"/>
      <w:pPr>
        <w:tabs>
          <w:tab w:val="num" w:pos="782"/>
        </w:tabs>
        <w:ind w:left="782" w:hanging="390"/>
      </w:pPr>
      <w:rPr>
        <w:rFonts w:hint="default"/>
      </w:rPr>
    </w:lvl>
    <w:lvl w:ilvl="1" w:tplc="04090019" w:tentative="1">
      <w:start w:val="1"/>
      <w:numFmt w:val="lowerLetter"/>
      <w:lvlText w:val="%2."/>
      <w:lvlJc w:val="left"/>
      <w:pPr>
        <w:tabs>
          <w:tab w:val="num" w:pos="1472"/>
        </w:tabs>
        <w:ind w:left="1472" w:hanging="360"/>
      </w:pPr>
    </w:lvl>
    <w:lvl w:ilvl="2" w:tplc="0409001B" w:tentative="1">
      <w:start w:val="1"/>
      <w:numFmt w:val="lowerRoman"/>
      <w:lvlText w:val="%3."/>
      <w:lvlJc w:val="right"/>
      <w:pPr>
        <w:tabs>
          <w:tab w:val="num" w:pos="2192"/>
        </w:tabs>
        <w:ind w:left="2192" w:hanging="180"/>
      </w:pPr>
    </w:lvl>
    <w:lvl w:ilvl="3" w:tplc="0409000F" w:tentative="1">
      <w:start w:val="1"/>
      <w:numFmt w:val="decimal"/>
      <w:lvlText w:val="%4."/>
      <w:lvlJc w:val="left"/>
      <w:pPr>
        <w:tabs>
          <w:tab w:val="num" w:pos="2912"/>
        </w:tabs>
        <w:ind w:left="2912" w:hanging="360"/>
      </w:pPr>
    </w:lvl>
    <w:lvl w:ilvl="4" w:tplc="04090019" w:tentative="1">
      <w:start w:val="1"/>
      <w:numFmt w:val="lowerLetter"/>
      <w:lvlText w:val="%5."/>
      <w:lvlJc w:val="left"/>
      <w:pPr>
        <w:tabs>
          <w:tab w:val="num" w:pos="3632"/>
        </w:tabs>
        <w:ind w:left="3632" w:hanging="360"/>
      </w:pPr>
    </w:lvl>
    <w:lvl w:ilvl="5" w:tplc="0409001B" w:tentative="1">
      <w:start w:val="1"/>
      <w:numFmt w:val="lowerRoman"/>
      <w:lvlText w:val="%6."/>
      <w:lvlJc w:val="right"/>
      <w:pPr>
        <w:tabs>
          <w:tab w:val="num" w:pos="4352"/>
        </w:tabs>
        <w:ind w:left="4352" w:hanging="180"/>
      </w:pPr>
    </w:lvl>
    <w:lvl w:ilvl="6" w:tplc="0409000F" w:tentative="1">
      <w:start w:val="1"/>
      <w:numFmt w:val="decimal"/>
      <w:lvlText w:val="%7."/>
      <w:lvlJc w:val="left"/>
      <w:pPr>
        <w:tabs>
          <w:tab w:val="num" w:pos="5072"/>
        </w:tabs>
        <w:ind w:left="5072" w:hanging="360"/>
      </w:pPr>
    </w:lvl>
    <w:lvl w:ilvl="7" w:tplc="04090019" w:tentative="1">
      <w:start w:val="1"/>
      <w:numFmt w:val="lowerLetter"/>
      <w:lvlText w:val="%8."/>
      <w:lvlJc w:val="left"/>
      <w:pPr>
        <w:tabs>
          <w:tab w:val="num" w:pos="5792"/>
        </w:tabs>
        <w:ind w:left="5792" w:hanging="360"/>
      </w:pPr>
    </w:lvl>
    <w:lvl w:ilvl="8" w:tplc="0409001B" w:tentative="1">
      <w:start w:val="1"/>
      <w:numFmt w:val="lowerRoman"/>
      <w:lvlText w:val="%9."/>
      <w:lvlJc w:val="right"/>
      <w:pPr>
        <w:tabs>
          <w:tab w:val="num" w:pos="6512"/>
        </w:tabs>
        <w:ind w:left="6512" w:hanging="180"/>
      </w:pPr>
    </w:lvl>
  </w:abstractNum>
  <w:abstractNum w:abstractNumId="21" w15:restartNumberingAfterBreak="0">
    <w:nsid w:val="7FFE0B4F"/>
    <w:multiLevelType w:val="hybridMultilevel"/>
    <w:tmpl w:val="0E341F0A"/>
    <w:lvl w:ilvl="0" w:tplc="1CF085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0"/>
  </w:num>
  <w:num w:numId="13">
    <w:abstractNumId w:val="10"/>
  </w:num>
  <w:num w:numId="14">
    <w:abstractNumId w:val="11"/>
  </w:num>
  <w:num w:numId="15">
    <w:abstractNumId w:val="19"/>
  </w:num>
  <w:num w:numId="16">
    <w:abstractNumId w:val="21"/>
  </w:num>
  <w:num w:numId="17">
    <w:abstractNumId w:val="13"/>
  </w:num>
  <w:num w:numId="18">
    <w:abstractNumId w:val="15"/>
  </w:num>
  <w:num w:numId="19">
    <w:abstractNumId w:val="17"/>
  </w:num>
  <w:num w:numId="20">
    <w:abstractNumId w:val="12"/>
  </w:num>
  <w:num w:numId="21">
    <w:abstractNumId w:val="18"/>
  </w:num>
  <w:num w:numId="22">
    <w:abstractNumId w:val="16"/>
  </w:num>
  <w:num w:numId="23">
    <w:abstractNumId w:val="16"/>
  </w:num>
  <w:num w:numId="24">
    <w:abstractNumId w:val="14"/>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 w:numId="35">
    <w:abstractNumId w:val="16"/>
  </w:num>
  <w:num w:numId="36">
    <w:abstractNumId w:val="16"/>
  </w:num>
  <w:num w:numId="37">
    <w:abstractNumId w:val="16"/>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rawingGridVerticalSpacing w:val="127"/>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3144C"/>
    <w:rsid w:val="00001A4B"/>
    <w:rsid w:val="00001B94"/>
    <w:rsid w:val="0000500F"/>
    <w:rsid w:val="000053FC"/>
    <w:rsid w:val="000140B6"/>
    <w:rsid w:val="00015809"/>
    <w:rsid w:val="00015F84"/>
    <w:rsid w:val="000165D4"/>
    <w:rsid w:val="00022186"/>
    <w:rsid w:val="00025616"/>
    <w:rsid w:val="00027796"/>
    <w:rsid w:val="000329AA"/>
    <w:rsid w:val="0003368E"/>
    <w:rsid w:val="000413B0"/>
    <w:rsid w:val="0004208D"/>
    <w:rsid w:val="00042621"/>
    <w:rsid w:val="00047712"/>
    <w:rsid w:val="00047DD8"/>
    <w:rsid w:val="0005163E"/>
    <w:rsid w:val="00051E3C"/>
    <w:rsid w:val="0005544C"/>
    <w:rsid w:val="00057669"/>
    <w:rsid w:val="00072F13"/>
    <w:rsid w:val="00080659"/>
    <w:rsid w:val="00081DCD"/>
    <w:rsid w:val="00087181"/>
    <w:rsid w:val="00087913"/>
    <w:rsid w:val="00094B0D"/>
    <w:rsid w:val="000951A9"/>
    <w:rsid w:val="000A3809"/>
    <w:rsid w:val="000A7099"/>
    <w:rsid w:val="000B0261"/>
    <w:rsid w:val="000B0CBD"/>
    <w:rsid w:val="000B1284"/>
    <w:rsid w:val="000B4601"/>
    <w:rsid w:val="000B7CC5"/>
    <w:rsid w:val="000C0D04"/>
    <w:rsid w:val="000C1BA6"/>
    <w:rsid w:val="000C4079"/>
    <w:rsid w:val="000C4887"/>
    <w:rsid w:val="000C562E"/>
    <w:rsid w:val="000D56B2"/>
    <w:rsid w:val="000D6310"/>
    <w:rsid w:val="000E1C1E"/>
    <w:rsid w:val="000E45CE"/>
    <w:rsid w:val="000F2E54"/>
    <w:rsid w:val="000F393D"/>
    <w:rsid w:val="000F5CED"/>
    <w:rsid w:val="000F7D67"/>
    <w:rsid w:val="00101E9A"/>
    <w:rsid w:val="00107BA3"/>
    <w:rsid w:val="001113E7"/>
    <w:rsid w:val="001123EB"/>
    <w:rsid w:val="00115FEA"/>
    <w:rsid w:val="00117AD4"/>
    <w:rsid w:val="00125473"/>
    <w:rsid w:val="0013151E"/>
    <w:rsid w:val="001327C1"/>
    <w:rsid w:val="00133013"/>
    <w:rsid w:val="001346D0"/>
    <w:rsid w:val="00143D0B"/>
    <w:rsid w:val="00144CF3"/>
    <w:rsid w:val="0014530D"/>
    <w:rsid w:val="00146217"/>
    <w:rsid w:val="0015014E"/>
    <w:rsid w:val="0015673F"/>
    <w:rsid w:val="001616E8"/>
    <w:rsid w:val="001661A2"/>
    <w:rsid w:val="001679AB"/>
    <w:rsid w:val="00170F24"/>
    <w:rsid w:val="00173BFA"/>
    <w:rsid w:val="0017402E"/>
    <w:rsid w:val="00176AAC"/>
    <w:rsid w:val="00176E95"/>
    <w:rsid w:val="00177269"/>
    <w:rsid w:val="001849C6"/>
    <w:rsid w:val="0018616A"/>
    <w:rsid w:val="001933DC"/>
    <w:rsid w:val="001A02BE"/>
    <w:rsid w:val="001A76D6"/>
    <w:rsid w:val="001A79AE"/>
    <w:rsid w:val="001B244B"/>
    <w:rsid w:val="001B7E7E"/>
    <w:rsid w:val="001C1985"/>
    <w:rsid w:val="001C3ECC"/>
    <w:rsid w:val="001C4445"/>
    <w:rsid w:val="001C4633"/>
    <w:rsid w:val="001C59F6"/>
    <w:rsid w:val="001D1E2B"/>
    <w:rsid w:val="001D20E7"/>
    <w:rsid w:val="001D2728"/>
    <w:rsid w:val="001D3AFE"/>
    <w:rsid w:val="001E1A7C"/>
    <w:rsid w:val="001E7766"/>
    <w:rsid w:val="001F3117"/>
    <w:rsid w:val="001F46D5"/>
    <w:rsid w:val="001F5121"/>
    <w:rsid w:val="001F73AD"/>
    <w:rsid w:val="00200C58"/>
    <w:rsid w:val="00205BAD"/>
    <w:rsid w:val="00207571"/>
    <w:rsid w:val="00207EF2"/>
    <w:rsid w:val="00210D6D"/>
    <w:rsid w:val="00211EA3"/>
    <w:rsid w:val="00215321"/>
    <w:rsid w:val="0021631E"/>
    <w:rsid w:val="002164C2"/>
    <w:rsid w:val="00220E3F"/>
    <w:rsid w:val="00223779"/>
    <w:rsid w:val="00226A7F"/>
    <w:rsid w:val="002310E7"/>
    <w:rsid w:val="00237DAF"/>
    <w:rsid w:val="00241552"/>
    <w:rsid w:val="002512F7"/>
    <w:rsid w:val="00255DB8"/>
    <w:rsid w:val="00257450"/>
    <w:rsid w:val="00257BDA"/>
    <w:rsid w:val="002745F4"/>
    <w:rsid w:val="00276469"/>
    <w:rsid w:val="00276550"/>
    <w:rsid w:val="00283B8B"/>
    <w:rsid w:val="00291864"/>
    <w:rsid w:val="0029250B"/>
    <w:rsid w:val="002925A7"/>
    <w:rsid w:val="00293B7C"/>
    <w:rsid w:val="00295C85"/>
    <w:rsid w:val="002A0ED0"/>
    <w:rsid w:val="002A46E2"/>
    <w:rsid w:val="002B31D1"/>
    <w:rsid w:val="002B35C9"/>
    <w:rsid w:val="002B3E33"/>
    <w:rsid w:val="002B56CE"/>
    <w:rsid w:val="002C6E3D"/>
    <w:rsid w:val="002D0DE1"/>
    <w:rsid w:val="002D41B2"/>
    <w:rsid w:val="002D4AF1"/>
    <w:rsid w:val="002D7F7C"/>
    <w:rsid w:val="002E33B8"/>
    <w:rsid w:val="002E3E43"/>
    <w:rsid w:val="002E57DE"/>
    <w:rsid w:val="002F4184"/>
    <w:rsid w:val="002F5663"/>
    <w:rsid w:val="002F6FEF"/>
    <w:rsid w:val="003009F0"/>
    <w:rsid w:val="003013B1"/>
    <w:rsid w:val="003023AA"/>
    <w:rsid w:val="00304917"/>
    <w:rsid w:val="003055D4"/>
    <w:rsid w:val="0031106D"/>
    <w:rsid w:val="003113C1"/>
    <w:rsid w:val="00316C15"/>
    <w:rsid w:val="00320976"/>
    <w:rsid w:val="00322BA7"/>
    <w:rsid w:val="003237DC"/>
    <w:rsid w:val="00325738"/>
    <w:rsid w:val="00336A51"/>
    <w:rsid w:val="00336E63"/>
    <w:rsid w:val="00341768"/>
    <w:rsid w:val="00343F5F"/>
    <w:rsid w:val="00353607"/>
    <w:rsid w:val="00355366"/>
    <w:rsid w:val="0036057C"/>
    <w:rsid w:val="0036464C"/>
    <w:rsid w:val="00366C44"/>
    <w:rsid w:val="00372ED8"/>
    <w:rsid w:val="00376B4A"/>
    <w:rsid w:val="0038172D"/>
    <w:rsid w:val="0038201A"/>
    <w:rsid w:val="00385967"/>
    <w:rsid w:val="0039266F"/>
    <w:rsid w:val="003940A1"/>
    <w:rsid w:val="00394E93"/>
    <w:rsid w:val="003A27EE"/>
    <w:rsid w:val="003A60A4"/>
    <w:rsid w:val="003C05B6"/>
    <w:rsid w:val="003C1F93"/>
    <w:rsid w:val="003C5FA7"/>
    <w:rsid w:val="003C6367"/>
    <w:rsid w:val="003C7BA2"/>
    <w:rsid w:val="003D023C"/>
    <w:rsid w:val="003D1901"/>
    <w:rsid w:val="003D31CB"/>
    <w:rsid w:val="003D3270"/>
    <w:rsid w:val="003D523C"/>
    <w:rsid w:val="003D7B22"/>
    <w:rsid w:val="003E0419"/>
    <w:rsid w:val="003E3823"/>
    <w:rsid w:val="003E3CBC"/>
    <w:rsid w:val="003E7FFC"/>
    <w:rsid w:val="003F117D"/>
    <w:rsid w:val="003F3787"/>
    <w:rsid w:val="00402477"/>
    <w:rsid w:val="00403FBC"/>
    <w:rsid w:val="004075DB"/>
    <w:rsid w:val="00412A4C"/>
    <w:rsid w:val="00414CA8"/>
    <w:rsid w:val="00426331"/>
    <w:rsid w:val="00430624"/>
    <w:rsid w:val="0043144C"/>
    <w:rsid w:val="00432088"/>
    <w:rsid w:val="00441FAE"/>
    <w:rsid w:val="004420FB"/>
    <w:rsid w:val="00442DE1"/>
    <w:rsid w:val="00443563"/>
    <w:rsid w:val="004457DA"/>
    <w:rsid w:val="00461FF9"/>
    <w:rsid w:val="00462366"/>
    <w:rsid w:val="00462FC4"/>
    <w:rsid w:val="00466472"/>
    <w:rsid w:val="004779DA"/>
    <w:rsid w:val="00482C27"/>
    <w:rsid w:val="0048322B"/>
    <w:rsid w:val="0048644A"/>
    <w:rsid w:val="004920ED"/>
    <w:rsid w:val="00493D11"/>
    <w:rsid w:val="004A0BB2"/>
    <w:rsid w:val="004A4692"/>
    <w:rsid w:val="004A5247"/>
    <w:rsid w:val="004B075F"/>
    <w:rsid w:val="004B1E02"/>
    <w:rsid w:val="004B299E"/>
    <w:rsid w:val="004B45E5"/>
    <w:rsid w:val="004B6AF9"/>
    <w:rsid w:val="004C3010"/>
    <w:rsid w:val="004C4D17"/>
    <w:rsid w:val="004C7669"/>
    <w:rsid w:val="004D08EE"/>
    <w:rsid w:val="004D0B8E"/>
    <w:rsid w:val="004D6A12"/>
    <w:rsid w:val="004E0826"/>
    <w:rsid w:val="004E0D50"/>
    <w:rsid w:val="004E17EF"/>
    <w:rsid w:val="004E3299"/>
    <w:rsid w:val="004F3B9E"/>
    <w:rsid w:val="004F5082"/>
    <w:rsid w:val="004F52DD"/>
    <w:rsid w:val="00501D78"/>
    <w:rsid w:val="0050268B"/>
    <w:rsid w:val="00505AD7"/>
    <w:rsid w:val="00506FE2"/>
    <w:rsid w:val="00510CD7"/>
    <w:rsid w:val="00511A4D"/>
    <w:rsid w:val="005133A6"/>
    <w:rsid w:val="005141C0"/>
    <w:rsid w:val="00514682"/>
    <w:rsid w:val="00514F13"/>
    <w:rsid w:val="00517E39"/>
    <w:rsid w:val="005211BE"/>
    <w:rsid w:val="00521245"/>
    <w:rsid w:val="00522069"/>
    <w:rsid w:val="00522101"/>
    <w:rsid w:val="00522CDD"/>
    <w:rsid w:val="005405C8"/>
    <w:rsid w:val="00543BC7"/>
    <w:rsid w:val="00550301"/>
    <w:rsid w:val="005505E4"/>
    <w:rsid w:val="00553CB7"/>
    <w:rsid w:val="0055722D"/>
    <w:rsid w:val="00564AB0"/>
    <w:rsid w:val="005855E8"/>
    <w:rsid w:val="00595D06"/>
    <w:rsid w:val="00597740"/>
    <w:rsid w:val="005A7194"/>
    <w:rsid w:val="005B0905"/>
    <w:rsid w:val="005B12B4"/>
    <w:rsid w:val="005B1F6B"/>
    <w:rsid w:val="005B2BDB"/>
    <w:rsid w:val="005B2FC7"/>
    <w:rsid w:val="005C5358"/>
    <w:rsid w:val="005C6A55"/>
    <w:rsid w:val="005D19B8"/>
    <w:rsid w:val="005D6E9A"/>
    <w:rsid w:val="005E0A16"/>
    <w:rsid w:val="005E1AD8"/>
    <w:rsid w:val="005E261D"/>
    <w:rsid w:val="005E3FF8"/>
    <w:rsid w:val="005E4CF0"/>
    <w:rsid w:val="005F17F8"/>
    <w:rsid w:val="005F251C"/>
    <w:rsid w:val="005F4011"/>
    <w:rsid w:val="005F5011"/>
    <w:rsid w:val="005F5763"/>
    <w:rsid w:val="005F5B8A"/>
    <w:rsid w:val="005F627D"/>
    <w:rsid w:val="006001C6"/>
    <w:rsid w:val="006007C0"/>
    <w:rsid w:val="00604822"/>
    <w:rsid w:val="00605E58"/>
    <w:rsid w:val="006061C0"/>
    <w:rsid w:val="006066E7"/>
    <w:rsid w:val="0062445A"/>
    <w:rsid w:val="00627CC3"/>
    <w:rsid w:val="00630B2F"/>
    <w:rsid w:val="00630C3E"/>
    <w:rsid w:val="00631FBD"/>
    <w:rsid w:val="00635456"/>
    <w:rsid w:val="00641D25"/>
    <w:rsid w:val="006425F9"/>
    <w:rsid w:val="0064528F"/>
    <w:rsid w:val="00650C66"/>
    <w:rsid w:val="006528E4"/>
    <w:rsid w:val="00660D9A"/>
    <w:rsid w:val="006619BC"/>
    <w:rsid w:val="006621E3"/>
    <w:rsid w:val="006641FF"/>
    <w:rsid w:val="00666404"/>
    <w:rsid w:val="006715BB"/>
    <w:rsid w:val="00672E4A"/>
    <w:rsid w:val="00673985"/>
    <w:rsid w:val="0067443C"/>
    <w:rsid w:val="006872AB"/>
    <w:rsid w:val="00691563"/>
    <w:rsid w:val="00692EFB"/>
    <w:rsid w:val="00693AC5"/>
    <w:rsid w:val="006A0871"/>
    <w:rsid w:val="006A3328"/>
    <w:rsid w:val="006A560F"/>
    <w:rsid w:val="006A7702"/>
    <w:rsid w:val="006B200E"/>
    <w:rsid w:val="006B3BFF"/>
    <w:rsid w:val="006B658B"/>
    <w:rsid w:val="006B7229"/>
    <w:rsid w:val="006B731D"/>
    <w:rsid w:val="006C3BE7"/>
    <w:rsid w:val="006C5D12"/>
    <w:rsid w:val="006C6987"/>
    <w:rsid w:val="006D04D0"/>
    <w:rsid w:val="006E6AD8"/>
    <w:rsid w:val="00701054"/>
    <w:rsid w:val="007021DC"/>
    <w:rsid w:val="007024CE"/>
    <w:rsid w:val="00703C60"/>
    <w:rsid w:val="007078DE"/>
    <w:rsid w:val="007117EB"/>
    <w:rsid w:val="007123D7"/>
    <w:rsid w:val="007130CD"/>
    <w:rsid w:val="007146D9"/>
    <w:rsid w:val="007216B3"/>
    <w:rsid w:val="00732CD6"/>
    <w:rsid w:val="00735764"/>
    <w:rsid w:val="00740431"/>
    <w:rsid w:val="00744CA4"/>
    <w:rsid w:val="00744FCE"/>
    <w:rsid w:val="007505B3"/>
    <w:rsid w:val="00753C9F"/>
    <w:rsid w:val="007552AC"/>
    <w:rsid w:val="00755CD5"/>
    <w:rsid w:val="0075737A"/>
    <w:rsid w:val="007620B5"/>
    <w:rsid w:val="00763CFD"/>
    <w:rsid w:val="00770685"/>
    <w:rsid w:val="00770D72"/>
    <w:rsid w:val="0077168D"/>
    <w:rsid w:val="0078172A"/>
    <w:rsid w:val="00783B64"/>
    <w:rsid w:val="00783DC9"/>
    <w:rsid w:val="007861D0"/>
    <w:rsid w:val="007942B2"/>
    <w:rsid w:val="0079469B"/>
    <w:rsid w:val="00794BC4"/>
    <w:rsid w:val="007A314E"/>
    <w:rsid w:val="007B04EE"/>
    <w:rsid w:val="007B231A"/>
    <w:rsid w:val="007B2BE0"/>
    <w:rsid w:val="007B5799"/>
    <w:rsid w:val="007B5B0A"/>
    <w:rsid w:val="007B726A"/>
    <w:rsid w:val="007B76E1"/>
    <w:rsid w:val="007D108A"/>
    <w:rsid w:val="007D7ADC"/>
    <w:rsid w:val="007E3039"/>
    <w:rsid w:val="007E6547"/>
    <w:rsid w:val="007E73F9"/>
    <w:rsid w:val="007E7665"/>
    <w:rsid w:val="007F479F"/>
    <w:rsid w:val="007F7086"/>
    <w:rsid w:val="00806079"/>
    <w:rsid w:val="0081201E"/>
    <w:rsid w:val="008141F5"/>
    <w:rsid w:val="008156D4"/>
    <w:rsid w:val="008160E9"/>
    <w:rsid w:val="00816224"/>
    <w:rsid w:val="008166B1"/>
    <w:rsid w:val="00816AB3"/>
    <w:rsid w:val="00821443"/>
    <w:rsid w:val="0082375B"/>
    <w:rsid w:val="0082407C"/>
    <w:rsid w:val="00826EC3"/>
    <w:rsid w:val="00834736"/>
    <w:rsid w:val="00835F27"/>
    <w:rsid w:val="00836974"/>
    <w:rsid w:val="00837B01"/>
    <w:rsid w:val="0084199A"/>
    <w:rsid w:val="00844B7E"/>
    <w:rsid w:val="00853F23"/>
    <w:rsid w:val="0085422A"/>
    <w:rsid w:val="00856A3C"/>
    <w:rsid w:val="0085724B"/>
    <w:rsid w:val="008625DB"/>
    <w:rsid w:val="00862E7E"/>
    <w:rsid w:val="008642FD"/>
    <w:rsid w:val="00865EE0"/>
    <w:rsid w:val="008668F8"/>
    <w:rsid w:val="00866A69"/>
    <w:rsid w:val="0087396D"/>
    <w:rsid w:val="0087596D"/>
    <w:rsid w:val="00876E1F"/>
    <w:rsid w:val="00882132"/>
    <w:rsid w:val="00885FB8"/>
    <w:rsid w:val="00886F77"/>
    <w:rsid w:val="00897F34"/>
    <w:rsid w:val="008B23A9"/>
    <w:rsid w:val="008B5C53"/>
    <w:rsid w:val="008C1CF5"/>
    <w:rsid w:val="008C73CC"/>
    <w:rsid w:val="008C7534"/>
    <w:rsid w:val="008D32DA"/>
    <w:rsid w:val="008D43D9"/>
    <w:rsid w:val="008D5CD9"/>
    <w:rsid w:val="008D6377"/>
    <w:rsid w:val="008D7F18"/>
    <w:rsid w:val="008E106F"/>
    <w:rsid w:val="008E2870"/>
    <w:rsid w:val="008E4BDB"/>
    <w:rsid w:val="008E551C"/>
    <w:rsid w:val="008E5C04"/>
    <w:rsid w:val="008F4DDE"/>
    <w:rsid w:val="008F7AFE"/>
    <w:rsid w:val="009013A1"/>
    <w:rsid w:val="00904816"/>
    <w:rsid w:val="00912082"/>
    <w:rsid w:val="00912E23"/>
    <w:rsid w:val="0092468A"/>
    <w:rsid w:val="00927A7B"/>
    <w:rsid w:val="00935190"/>
    <w:rsid w:val="0093732D"/>
    <w:rsid w:val="0093734D"/>
    <w:rsid w:val="0094127C"/>
    <w:rsid w:val="0094353E"/>
    <w:rsid w:val="0094486C"/>
    <w:rsid w:val="009450CD"/>
    <w:rsid w:val="00945573"/>
    <w:rsid w:val="009528C3"/>
    <w:rsid w:val="00953373"/>
    <w:rsid w:val="00955EB8"/>
    <w:rsid w:val="00955F58"/>
    <w:rsid w:val="0095648B"/>
    <w:rsid w:val="009654A7"/>
    <w:rsid w:val="0096572C"/>
    <w:rsid w:val="009668E2"/>
    <w:rsid w:val="00970A90"/>
    <w:rsid w:val="00973B60"/>
    <w:rsid w:val="00974655"/>
    <w:rsid w:val="009778AC"/>
    <w:rsid w:val="00980844"/>
    <w:rsid w:val="009942CA"/>
    <w:rsid w:val="00995EB0"/>
    <w:rsid w:val="009A31E7"/>
    <w:rsid w:val="009A7169"/>
    <w:rsid w:val="009B2325"/>
    <w:rsid w:val="009B25F6"/>
    <w:rsid w:val="009B2BB6"/>
    <w:rsid w:val="009B40D8"/>
    <w:rsid w:val="009B5928"/>
    <w:rsid w:val="009C0AC4"/>
    <w:rsid w:val="009C22D6"/>
    <w:rsid w:val="009C31F8"/>
    <w:rsid w:val="009C4638"/>
    <w:rsid w:val="009C5604"/>
    <w:rsid w:val="009C5B4A"/>
    <w:rsid w:val="009D3A36"/>
    <w:rsid w:val="009D5663"/>
    <w:rsid w:val="009D609F"/>
    <w:rsid w:val="009E1CDA"/>
    <w:rsid w:val="009F2BD1"/>
    <w:rsid w:val="009F2CA9"/>
    <w:rsid w:val="009F2D70"/>
    <w:rsid w:val="00A0137A"/>
    <w:rsid w:val="00A03CFC"/>
    <w:rsid w:val="00A04782"/>
    <w:rsid w:val="00A07B1F"/>
    <w:rsid w:val="00A10167"/>
    <w:rsid w:val="00A107E8"/>
    <w:rsid w:val="00A116EF"/>
    <w:rsid w:val="00A121BD"/>
    <w:rsid w:val="00A129AC"/>
    <w:rsid w:val="00A13790"/>
    <w:rsid w:val="00A1721E"/>
    <w:rsid w:val="00A24AFC"/>
    <w:rsid w:val="00A301E6"/>
    <w:rsid w:val="00A30306"/>
    <w:rsid w:val="00A31A6B"/>
    <w:rsid w:val="00A3335C"/>
    <w:rsid w:val="00A3456D"/>
    <w:rsid w:val="00A34C9E"/>
    <w:rsid w:val="00A365B1"/>
    <w:rsid w:val="00A500AF"/>
    <w:rsid w:val="00A50290"/>
    <w:rsid w:val="00A51641"/>
    <w:rsid w:val="00A5514D"/>
    <w:rsid w:val="00A554C7"/>
    <w:rsid w:val="00A554F9"/>
    <w:rsid w:val="00A576E6"/>
    <w:rsid w:val="00A60D74"/>
    <w:rsid w:val="00A617EA"/>
    <w:rsid w:val="00A634B5"/>
    <w:rsid w:val="00A742A8"/>
    <w:rsid w:val="00A76F17"/>
    <w:rsid w:val="00A815EF"/>
    <w:rsid w:val="00A8347C"/>
    <w:rsid w:val="00A837DF"/>
    <w:rsid w:val="00A86A58"/>
    <w:rsid w:val="00A915C7"/>
    <w:rsid w:val="00A93A18"/>
    <w:rsid w:val="00A9639D"/>
    <w:rsid w:val="00A97CB9"/>
    <w:rsid w:val="00A97CBE"/>
    <w:rsid w:val="00AA1FA6"/>
    <w:rsid w:val="00AA2434"/>
    <w:rsid w:val="00AA5C1E"/>
    <w:rsid w:val="00AA71B0"/>
    <w:rsid w:val="00AB1F66"/>
    <w:rsid w:val="00AB2527"/>
    <w:rsid w:val="00AB306A"/>
    <w:rsid w:val="00AB3201"/>
    <w:rsid w:val="00AC1A4F"/>
    <w:rsid w:val="00AD0455"/>
    <w:rsid w:val="00AD119C"/>
    <w:rsid w:val="00AD1DC9"/>
    <w:rsid w:val="00AD1F6E"/>
    <w:rsid w:val="00AE021A"/>
    <w:rsid w:val="00AE0C13"/>
    <w:rsid w:val="00AE0D65"/>
    <w:rsid w:val="00AE0FD6"/>
    <w:rsid w:val="00AE1159"/>
    <w:rsid w:val="00AE5012"/>
    <w:rsid w:val="00AF2A8C"/>
    <w:rsid w:val="00AF3278"/>
    <w:rsid w:val="00AF3D18"/>
    <w:rsid w:val="00AF4739"/>
    <w:rsid w:val="00B00A8D"/>
    <w:rsid w:val="00B068A4"/>
    <w:rsid w:val="00B11C70"/>
    <w:rsid w:val="00B12C96"/>
    <w:rsid w:val="00B17064"/>
    <w:rsid w:val="00B20401"/>
    <w:rsid w:val="00B212EF"/>
    <w:rsid w:val="00B232E8"/>
    <w:rsid w:val="00B23F45"/>
    <w:rsid w:val="00B41823"/>
    <w:rsid w:val="00B45B09"/>
    <w:rsid w:val="00B461EC"/>
    <w:rsid w:val="00B5279C"/>
    <w:rsid w:val="00B5569E"/>
    <w:rsid w:val="00B64A49"/>
    <w:rsid w:val="00B64B48"/>
    <w:rsid w:val="00B71811"/>
    <w:rsid w:val="00B7250E"/>
    <w:rsid w:val="00B7292A"/>
    <w:rsid w:val="00B73235"/>
    <w:rsid w:val="00B734F6"/>
    <w:rsid w:val="00B737C4"/>
    <w:rsid w:val="00B82A1F"/>
    <w:rsid w:val="00B836C9"/>
    <w:rsid w:val="00B85ECA"/>
    <w:rsid w:val="00B87821"/>
    <w:rsid w:val="00B91644"/>
    <w:rsid w:val="00B92A63"/>
    <w:rsid w:val="00B939C0"/>
    <w:rsid w:val="00B94BB5"/>
    <w:rsid w:val="00B977E4"/>
    <w:rsid w:val="00BA18B7"/>
    <w:rsid w:val="00BA7F78"/>
    <w:rsid w:val="00BB1427"/>
    <w:rsid w:val="00BB16A3"/>
    <w:rsid w:val="00BC17A8"/>
    <w:rsid w:val="00BC548E"/>
    <w:rsid w:val="00BC7192"/>
    <w:rsid w:val="00BC73B7"/>
    <w:rsid w:val="00BD1FA6"/>
    <w:rsid w:val="00BE05A3"/>
    <w:rsid w:val="00BE156D"/>
    <w:rsid w:val="00BE41D9"/>
    <w:rsid w:val="00BF2472"/>
    <w:rsid w:val="00BF3043"/>
    <w:rsid w:val="00BF3938"/>
    <w:rsid w:val="00C003F7"/>
    <w:rsid w:val="00C01B98"/>
    <w:rsid w:val="00C037F5"/>
    <w:rsid w:val="00C07324"/>
    <w:rsid w:val="00C11AF0"/>
    <w:rsid w:val="00C16AFB"/>
    <w:rsid w:val="00C21301"/>
    <w:rsid w:val="00C22557"/>
    <w:rsid w:val="00C226F6"/>
    <w:rsid w:val="00C22767"/>
    <w:rsid w:val="00C22EC5"/>
    <w:rsid w:val="00C4175F"/>
    <w:rsid w:val="00C46B2E"/>
    <w:rsid w:val="00C51D0C"/>
    <w:rsid w:val="00C53FE0"/>
    <w:rsid w:val="00C57540"/>
    <w:rsid w:val="00C613E3"/>
    <w:rsid w:val="00C64D15"/>
    <w:rsid w:val="00C72E21"/>
    <w:rsid w:val="00C73ADC"/>
    <w:rsid w:val="00C81721"/>
    <w:rsid w:val="00C831C6"/>
    <w:rsid w:val="00C85470"/>
    <w:rsid w:val="00C85880"/>
    <w:rsid w:val="00C87B27"/>
    <w:rsid w:val="00C94A54"/>
    <w:rsid w:val="00C96510"/>
    <w:rsid w:val="00C97C19"/>
    <w:rsid w:val="00CA047A"/>
    <w:rsid w:val="00CA5703"/>
    <w:rsid w:val="00CB30AC"/>
    <w:rsid w:val="00CB461E"/>
    <w:rsid w:val="00CB4779"/>
    <w:rsid w:val="00CB6B72"/>
    <w:rsid w:val="00CC6993"/>
    <w:rsid w:val="00CD525C"/>
    <w:rsid w:val="00CD7C08"/>
    <w:rsid w:val="00CE0045"/>
    <w:rsid w:val="00CE7A0F"/>
    <w:rsid w:val="00CF3C60"/>
    <w:rsid w:val="00CF736A"/>
    <w:rsid w:val="00D04348"/>
    <w:rsid w:val="00D059E1"/>
    <w:rsid w:val="00D061E7"/>
    <w:rsid w:val="00D145C3"/>
    <w:rsid w:val="00D15C14"/>
    <w:rsid w:val="00D15C35"/>
    <w:rsid w:val="00D32C32"/>
    <w:rsid w:val="00D33F6E"/>
    <w:rsid w:val="00D34A29"/>
    <w:rsid w:val="00D4192D"/>
    <w:rsid w:val="00D42C25"/>
    <w:rsid w:val="00D510C3"/>
    <w:rsid w:val="00D51A9E"/>
    <w:rsid w:val="00D51B42"/>
    <w:rsid w:val="00D60A25"/>
    <w:rsid w:val="00D60EE8"/>
    <w:rsid w:val="00D62442"/>
    <w:rsid w:val="00D631F9"/>
    <w:rsid w:val="00D63F23"/>
    <w:rsid w:val="00D65943"/>
    <w:rsid w:val="00D65A0F"/>
    <w:rsid w:val="00D66F90"/>
    <w:rsid w:val="00D67184"/>
    <w:rsid w:val="00D67993"/>
    <w:rsid w:val="00D761E0"/>
    <w:rsid w:val="00D8148A"/>
    <w:rsid w:val="00D82933"/>
    <w:rsid w:val="00D835EC"/>
    <w:rsid w:val="00D8499B"/>
    <w:rsid w:val="00D86CF2"/>
    <w:rsid w:val="00D86E8C"/>
    <w:rsid w:val="00D9137F"/>
    <w:rsid w:val="00D96C01"/>
    <w:rsid w:val="00D97EEF"/>
    <w:rsid w:val="00DA1275"/>
    <w:rsid w:val="00DB6E8D"/>
    <w:rsid w:val="00DC2E9C"/>
    <w:rsid w:val="00DC4FD8"/>
    <w:rsid w:val="00DC6A71"/>
    <w:rsid w:val="00DC7A53"/>
    <w:rsid w:val="00DD0467"/>
    <w:rsid w:val="00DD19EE"/>
    <w:rsid w:val="00DD2FE3"/>
    <w:rsid w:val="00DD341C"/>
    <w:rsid w:val="00DD5DEA"/>
    <w:rsid w:val="00DD713F"/>
    <w:rsid w:val="00DE2CD1"/>
    <w:rsid w:val="00DE479B"/>
    <w:rsid w:val="00DE4A81"/>
    <w:rsid w:val="00DE5270"/>
    <w:rsid w:val="00DE7221"/>
    <w:rsid w:val="00DE7BAB"/>
    <w:rsid w:val="00DF0C96"/>
    <w:rsid w:val="00E01A9B"/>
    <w:rsid w:val="00E0507D"/>
    <w:rsid w:val="00E0602C"/>
    <w:rsid w:val="00E0707C"/>
    <w:rsid w:val="00E120AD"/>
    <w:rsid w:val="00E154F2"/>
    <w:rsid w:val="00E158DF"/>
    <w:rsid w:val="00E16006"/>
    <w:rsid w:val="00E17F21"/>
    <w:rsid w:val="00E20532"/>
    <w:rsid w:val="00E2094A"/>
    <w:rsid w:val="00E23208"/>
    <w:rsid w:val="00E25794"/>
    <w:rsid w:val="00E25C40"/>
    <w:rsid w:val="00E26AB6"/>
    <w:rsid w:val="00E33F3C"/>
    <w:rsid w:val="00E35B0D"/>
    <w:rsid w:val="00E35EB4"/>
    <w:rsid w:val="00E36738"/>
    <w:rsid w:val="00E36CA2"/>
    <w:rsid w:val="00E371FA"/>
    <w:rsid w:val="00E41056"/>
    <w:rsid w:val="00E4159F"/>
    <w:rsid w:val="00E50CAE"/>
    <w:rsid w:val="00E561B8"/>
    <w:rsid w:val="00E629BB"/>
    <w:rsid w:val="00E64D59"/>
    <w:rsid w:val="00E65785"/>
    <w:rsid w:val="00E66ADD"/>
    <w:rsid w:val="00E735B5"/>
    <w:rsid w:val="00E737DD"/>
    <w:rsid w:val="00E80D91"/>
    <w:rsid w:val="00E81A15"/>
    <w:rsid w:val="00E81EE1"/>
    <w:rsid w:val="00E82A7D"/>
    <w:rsid w:val="00E853A6"/>
    <w:rsid w:val="00E934EE"/>
    <w:rsid w:val="00E9387A"/>
    <w:rsid w:val="00E93B5E"/>
    <w:rsid w:val="00E9566A"/>
    <w:rsid w:val="00E9726F"/>
    <w:rsid w:val="00EA5ABA"/>
    <w:rsid w:val="00EB0D08"/>
    <w:rsid w:val="00EC6F8E"/>
    <w:rsid w:val="00ED1759"/>
    <w:rsid w:val="00ED3861"/>
    <w:rsid w:val="00ED6967"/>
    <w:rsid w:val="00EE51D5"/>
    <w:rsid w:val="00EF383F"/>
    <w:rsid w:val="00EF5608"/>
    <w:rsid w:val="00F139BA"/>
    <w:rsid w:val="00F15548"/>
    <w:rsid w:val="00F165ED"/>
    <w:rsid w:val="00F21AD8"/>
    <w:rsid w:val="00F27CDA"/>
    <w:rsid w:val="00F40A29"/>
    <w:rsid w:val="00F41DF8"/>
    <w:rsid w:val="00F43FFC"/>
    <w:rsid w:val="00F47708"/>
    <w:rsid w:val="00F4775D"/>
    <w:rsid w:val="00F528F4"/>
    <w:rsid w:val="00F57792"/>
    <w:rsid w:val="00F67249"/>
    <w:rsid w:val="00F75471"/>
    <w:rsid w:val="00F7612D"/>
    <w:rsid w:val="00F7627B"/>
    <w:rsid w:val="00F81A40"/>
    <w:rsid w:val="00F82C5E"/>
    <w:rsid w:val="00F85DC5"/>
    <w:rsid w:val="00F93201"/>
    <w:rsid w:val="00F93E56"/>
    <w:rsid w:val="00FA0589"/>
    <w:rsid w:val="00FA5C84"/>
    <w:rsid w:val="00FA61BF"/>
    <w:rsid w:val="00FB3FB2"/>
    <w:rsid w:val="00FB42DB"/>
    <w:rsid w:val="00FB6883"/>
    <w:rsid w:val="00FC0CD9"/>
    <w:rsid w:val="00FC31B1"/>
    <w:rsid w:val="00FC750C"/>
    <w:rsid w:val="00FD31CE"/>
    <w:rsid w:val="00FD75F4"/>
    <w:rsid w:val="00FE3C99"/>
    <w:rsid w:val="00FF4803"/>
    <w:rsid w:val="00FF5152"/>
    <w:rsid w:val="00FF6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17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36C9"/>
    <w:rPr>
      <w:sz w:val="24"/>
      <w:lang w:eastAsia="en-US"/>
    </w:rPr>
  </w:style>
  <w:style w:type="paragraph" w:styleId="Heading1">
    <w:name w:val="heading 1"/>
    <w:basedOn w:val="Normal"/>
    <w:next w:val="BodyText"/>
    <w:qFormat/>
    <w:rsid w:val="00B87821"/>
    <w:pPr>
      <w:keepNext/>
      <w:numPr>
        <w:numId w:val="11"/>
      </w:numPr>
      <w:spacing w:after="240"/>
      <w:jc w:val="center"/>
      <w:outlineLvl w:val="0"/>
    </w:pPr>
    <w:rPr>
      <w:b/>
      <w:kern w:val="28"/>
    </w:rPr>
  </w:style>
  <w:style w:type="paragraph" w:styleId="Heading2">
    <w:name w:val="heading 2"/>
    <w:basedOn w:val="Normal"/>
    <w:next w:val="BodyText"/>
    <w:qFormat/>
    <w:rsid w:val="00B87821"/>
    <w:pPr>
      <w:numPr>
        <w:ilvl w:val="1"/>
        <w:numId w:val="11"/>
      </w:numPr>
      <w:tabs>
        <w:tab w:val="clear" w:pos="810"/>
        <w:tab w:val="num" w:pos="921"/>
      </w:tabs>
      <w:spacing w:after="240"/>
      <w:ind w:left="-159"/>
      <w:jc w:val="both"/>
      <w:outlineLvl w:val="1"/>
    </w:pPr>
  </w:style>
  <w:style w:type="paragraph" w:styleId="Heading3">
    <w:name w:val="heading 3"/>
    <w:basedOn w:val="Normal"/>
    <w:next w:val="BodyText"/>
    <w:qFormat/>
    <w:rsid w:val="00B87821"/>
    <w:pPr>
      <w:numPr>
        <w:ilvl w:val="2"/>
        <w:numId w:val="11"/>
      </w:numPr>
      <w:spacing w:after="240"/>
      <w:jc w:val="both"/>
      <w:outlineLvl w:val="2"/>
    </w:pPr>
  </w:style>
  <w:style w:type="paragraph" w:styleId="Heading4">
    <w:name w:val="heading 4"/>
    <w:basedOn w:val="Normal"/>
    <w:next w:val="BodyText"/>
    <w:qFormat/>
    <w:rsid w:val="00B87821"/>
    <w:pPr>
      <w:numPr>
        <w:ilvl w:val="3"/>
        <w:numId w:val="11"/>
      </w:numPr>
      <w:spacing w:after="240"/>
      <w:jc w:val="both"/>
      <w:outlineLvl w:val="3"/>
    </w:pPr>
  </w:style>
  <w:style w:type="paragraph" w:styleId="Heading5">
    <w:name w:val="heading 5"/>
    <w:basedOn w:val="Normal"/>
    <w:next w:val="BodyText"/>
    <w:qFormat/>
    <w:rsid w:val="00B87821"/>
    <w:pPr>
      <w:numPr>
        <w:ilvl w:val="4"/>
        <w:numId w:val="11"/>
      </w:numPr>
      <w:spacing w:after="240"/>
      <w:jc w:val="both"/>
      <w:outlineLvl w:val="4"/>
    </w:pPr>
  </w:style>
  <w:style w:type="paragraph" w:styleId="Heading6">
    <w:name w:val="heading 6"/>
    <w:basedOn w:val="Normal"/>
    <w:next w:val="BodyText"/>
    <w:qFormat/>
    <w:rsid w:val="00B87821"/>
    <w:pPr>
      <w:numPr>
        <w:ilvl w:val="5"/>
        <w:numId w:val="11"/>
      </w:numPr>
      <w:spacing w:after="220"/>
      <w:outlineLvl w:val="5"/>
    </w:pPr>
    <w:rPr>
      <w:i/>
      <w:sz w:val="22"/>
    </w:rPr>
  </w:style>
  <w:style w:type="paragraph" w:styleId="Heading7">
    <w:name w:val="heading 7"/>
    <w:basedOn w:val="Normal"/>
    <w:next w:val="BodyText"/>
    <w:qFormat/>
    <w:rsid w:val="00B87821"/>
    <w:pPr>
      <w:numPr>
        <w:ilvl w:val="6"/>
        <w:numId w:val="11"/>
      </w:numPr>
      <w:spacing w:after="200"/>
      <w:outlineLvl w:val="6"/>
    </w:pPr>
    <w:rPr>
      <w:sz w:val="20"/>
    </w:rPr>
  </w:style>
  <w:style w:type="paragraph" w:styleId="Heading8">
    <w:name w:val="heading 8"/>
    <w:basedOn w:val="Normal"/>
    <w:next w:val="BodyText"/>
    <w:qFormat/>
    <w:rsid w:val="00B87821"/>
    <w:pPr>
      <w:spacing w:after="200"/>
      <w:outlineLvl w:val="7"/>
    </w:pPr>
    <w:rPr>
      <w:i/>
      <w:sz w:val="20"/>
    </w:rPr>
  </w:style>
  <w:style w:type="paragraph" w:styleId="Heading9">
    <w:name w:val="heading 9"/>
    <w:basedOn w:val="Normal"/>
    <w:next w:val="BodyText"/>
    <w:qFormat/>
    <w:rsid w:val="00B87821"/>
    <w:pPr>
      <w:spacing w:after="200"/>
      <w:outlineLvl w:val="8"/>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7821"/>
    <w:pPr>
      <w:spacing w:after="120"/>
    </w:pPr>
  </w:style>
  <w:style w:type="paragraph" w:styleId="EnvelopeAddress">
    <w:name w:val="envelope address"/>
    <w:basedOn w:val="Normal"/>
    <w:rsid w:val="00B87821"/>
    <w:pPr>
      <w:framePr w:w="7920" w:h="1980" w:hRule="exact" w:hSpace="180" w:wrap="auto" w:hAnchor="page" w:xAlign="center" w:yAlign="bottom"/>
      <w:ind w:left="2880"/>
    </w:pPr>
  </w:style>
  <w:style w:type="paragraph" w:styleId="EnvelopeReturn">
    <w:name w:val="envelope return"/>
    <w:basedOn w:val="Normal"/>
    <w:rsid w:val="00B87821"/>
  </w:style>
  <w:style w:type="paragraph" w:styleId="Header">
    <w:name w:val="header"/>
    <w:basedOn w:val="Normal"/>
    <w:link w:val="HeaderChar"/>
    <w:rsid w:val="00B87821"/>
    <w:pPr>
      <w:tabs>
        <w:tab w:val="center" w:pos="4680"/>
        <w:tab w:val="right" w:pos="9360"/>
      </w:tabs>
    </w:pPr>
  </w:style>
  <w:style w:type="paragraph" w:styleId="Footer">
    <w:name w:val="footer"/>
    <w:basedOn w:val="Normal"/>
    <w:rsid w:val="00B87821"/>
    <w:pPr>
      <w:tabs>
        <w:tab w:val="center" w:pos="4680"/>
        <w:tab w:val="right" w:pos="9360"/>
      </w:tabs>
    </w:pPr>
  </w:style>
  <w:style w:type="paragraph" w:styleId="Index1">
    <w:name w:val="index 1"/>
    <w:basedOn w:val="Normal"/>
    <w:next w:val="Normal"/>
    <w:autoRedefine/>
    <w:semiHidden/>
    <w:rsid w:val="00B87821"/>
    <w:pPr>
      <w:ind w:left="240" w:hanging="240"/>
    </w:pPr>
  </w:style>
  <w:style w:type="paragraph" w:styleId="IndexHeading">
    <w:name w:val="index heading"/>
    <w:basedOn w:val="Normal"/>
    <w:next w:val="Index1"/>
    <w:semiHidden/>
    <w:rsid w:val="00B87821"/>
    <w:rPr>
      <w:b/>
    </w:rPr>
  </w:style>
  <w:style w:type="paragraph" w:styleId="PlainText">
    <w:name w:val="Plain Text"/>
    <w:basedOn w:val="Normal"/>
    <w:rsid w:val="00B87821"/>
    <w:rPr>
      <w:sz w:val="20"/>
    </w:rPr>
  </w:style>
  <w:style w:type="paragraph" w:styleId="Subtitle">
    <w:name w:val="Subtitle"/>
    <w:basedOn w:val="Normal"/>
    <w:next w:val="BodyText"/>
    <w:qFormat/>
    <w:rsid w:val="00B87821"/>
    <w:pPr>
      <w:spacing w:after="240"/>
      <w:jc w:val="center"/>
      <w:outlineLvl w:val="1"/>
    </w:pPr>
  </w:style>
  <w:style w:type="paragraph" w:styleId="Title">
    <w:name w:val="Title"/>
    <w:basedOn w:val="Normal"/>
    <w:next w:val="BodyText"/>
    <w:qFormat/>
    <w:rsid w:val="00B87821"/>
    <w:pPr>
      <w:spacing w:after="280"/>
      <w:jc w:val="center"/>
      <w:outlineLvl w:val="0"/>
    </w:pPr>
    <w:rPr>
      <w:b/>
      <w:kern w:val="28"/>
    </w:rPr>
  </w:style>
  <w:style w:type="paragraph" w:styleId="BodyTextIndent">
    <w:name w:val="Body Text Indent"/>
    <w:basedOn w:val="Normal"/>
    <w:next w:val="Normal"/>
    <w:autoRedefine/>
    <w:rsid w:val="001D20E7"/>
    <w:pPr>
      <w:spacing w:after="240"/>
      <w:ind w:left="1440"/>
      <w:jc w:val="both"/>
    </w:pPr>
    <w:rPr>
      <w:szCs w:val="24"/>
    </w:rPr>
  </w:style>
  <w:style w:type="paragraph" w:styleId="BodyText2">
    <w:name w:val="Body Text 2"/>
    <w:basedOn w:val="Normal"/>
    <w:rsid w:val="00B87821"/>
    <w:pPr>
      <w:spacing w:line="480" w:lineRule="auto"/>
    </w:pPr>
  </w:style>
  <w:style w:type="paragraph" w:styleId="BodyText3">
    <w:name w:val="Body Text 3"/>
    <w:basedOn w:val="Normal"/>
    <w:rsid w:val="00B87821"/>
    <w:pPr>
      <w:spacing w:after="160"/>
    </w:pPr>
    <w:rPr>
      <w:sz w:val="16"/>
    </w:rPr>
  </w:style>
  <w:style w:type="paragraph" w:styleId="BodyTextFirstIndent">
    <w:name w:val="Body Text First Indent"/>
    <w:aliases w:val="btf"/>
    <w:basedOn w:val="Normal"/>
    <w:rsid w:val="00B87821"/>
    <w:pPr>
      <w:spacing w:after="240"/>
      <w:ind w:firstLine="720"/>
      <w:jc w:val="both"/>
    </w:pPr>
  </w:style>
  <w:style w:type="paragraph" w:styleId="BodyTextFirstIndent2">
    <w:name w:val="Body Text First Indent 2"/>
    <w:basedOn w:val="BodyTextIndent"/>
    <w:rsid w:val="00FA0589"/>
    <w:pPr>
      <w:ind w:left="720" w:firstLine="1440"/>
    </w:pPr>
  </w:style>
  <w:style w:type="paragraph" w:customStyle="1" w:styleId="Title-Right">
    <w:name w:val="Title-Right"/>
    <w:basedOn w:val="Normal"/>
    <w:rsid w:val="00B87821"/>
    <w:pPr>
      <w:spacing w:after="240"/>
      <w:jc w:val="right"/>
    </w:pPr>
    <w:rPr>
      <w:b/>
    </w:rPr>
  </w:style>
  <w:style w:type="paragraph" w:styleId="BodyTextIndent3">
    <w:name w:val="Body Text Indent 3"/>
    <w:basedOn w:val="Normal"/>
    <w:rsid w:val="00B87821"/>
    <w:pPr>
      <w:spacing w:after="160"/>
      <w:ind w:left="720"/>
    </w:pPr>
    <w:rPr>
      <w:sz w:val="16"/>
    </w:rPr>
  </w:style>
  <w:style w:type="paragraph" w:styleId="Signature">
    <w:name w:val="Signature"/>
    <w:basedOn w:val="Normal"/>
    <w:rsid w:val="00B87821"/>
    <w:pPr>
      <w:ind w:left="4680"/>
    </w:pPr>
  </w:style>
  <w:style w:type="paragraph" w:styleId="Salutation">
    <w:name w:val="Salutation"/>
    <w:basedOn w:val="Normal"/>
    <w:next w:val="Normal"/>
    <w:rsid w:val="00B87821"/>
  </w:style>
  <w:style w:type="paragraph" w:styleId="Closing">
    <w:name w:val="Closing"/>
    <w:basedOn w:val="Normal"/>
    <w:rsid w:val="00B87821"/>
    <w:pPr>
      <w:spacing w:after="240"/>
      <w:ind w:left="5040"/>
    </w:pPr>
  </w:style>
  <w:style w:type="paragraph" w:styleId="MacroText">
    <w:name w:val="macro"/>
    <w:semiHidden/>
    <w:rsid w:val="00B8782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styleId="FootnoteText">
    <w:name w:val="footnote text"/>
    <w:basedOn w:val="Normal"/>
    <w:semiHidden/>
    <w:rsid w:val="00B87821"/>
    <w:pPr>
      <w:spacing w:after="120"/>
      <w:ind w:left="360" w:hanging="360"/>
    </w:pPr>
  </w:style>
  <w:style w:type="paragraph" w:styleId="EndnoteText">
    <w:name w:val="endnote text"/>
    <w:basedOn w:val="Normal"/>
    <w:semiHidden/>
    <w:rsid w:val="00B87821"/>
    <w:rPr>
      <w:sz w:val="20"/>
    </w:rPr>
  </w:style>
  <w:style w:type="character" w:customStyle="1" w:styleId="ParaNum">
    <w:name w:val="ParaNum"/>
    <w:rsid w:val="00B87821"/>
    <w:rPr>
      <w:b w:val="0"/>
      <w:i w:val="0"/>
      <w:vanish w:val="0"/>
      <w:u w:val="none"/>
    </w:rPr>
  </w:style>
  <w:style w:type="paragraph" w:styleId="BlockText">
    <w:name w:val="Block Text"/>
    <w:aliases w:val="blk,b"/>
    <w:basedOn w:val="Normal"/>
    <w:rsid w:val="00FA0589"/>
    <w:pPr>
      <w:spacing w:after="240"/>
      <w:jc w:val="both"/>
    </w:pPr>
    <w:rPr>
      <w:sz w:val="20"/>
    </w:rPr>
  </w:style>
  <w:style w:type="paragraph" w:styleId="Caption">
    <w:name w:val="caption"/>
    <w:basedOn w:val="Normal"/>
    <w:next w:val="Normal"/>
    <w:qFormat/>
    <w:rsid w:val="00B87821"/>
    <w:pPr>
      <w:spacing w:before="120" w:after="120"/>
    </w:pPr>
    <w:rPr>
      <w:b/>
    </w:rPr>
  </w:style>
  <w:style w:type="character" w:styleId="CommentReference">
    <w:name w:val="annotation reference"/>
    <w:semiHidden/>
    <w:rsid w:val="00B87821"/>
    <w:rPr>
      <w:sz w:val="16"/>
    </w:rPr>
  </w:style>
  <w:style w:type="paragraph" w:styleId="CommentText">
    <w:name w:val="annotation text"/>
    <w:basedOn w:val="Normal"/>
    <w:semiHidden/>
    <w:rsid w:val="00B87821"/>
    <w:rPr>
      <w:sz w:val="20"/>
    </w:rPr>
  </w:style>
  <w:style w:type="paragraph" w:styleId="Date">
    <w:name w:val="Date"/>
    <w:basedOn w:val="Normal"/>
    <w:next w:val="Normal"/>
    <w:rsid w:val="00B87821"/>
  </w:style>
  <w:style w:type="paragraph" w:styleId="DocumentMap">
    <w:name w:val="Document Map"/>
    <w:basedOn w:val="Normal"/>
    <w:semiHidden/>
    <w:rsid w:val="00B87821"/>
    <w:pPr>
      <w:shd w:val="clear" w:color="auto" w:fill="000080"/>
    </w:pPr>
    <w:rPr>
      <w:rFonts w:ascii="Tahoma" w:hAnsi="Tahoma"/>
    </w:rPr>
  </w:style>
  <w:style w:type="character" w:styleId="Emphasis">
    <w:name w:val="Emphasis"/>
    <w:qFormat/>
    <w:rsid w:val="00B87821"/>
    <w:rPr>
      <w:i/>
    </w:rPr>
  </w:style>
  <w:style w:type="character" w:styleId="EndnoteReference">
    <w:name w:val="endnote reference"/>
    <w:semiHidden/>
    <w:rsid w:val="00B87821"/>
    <w:rPr>
      <w:vertAlign w:val="superscript"/>
    </w:rPr>
  </w:style>
  <w:style w:type="character" w:styleId="FollowedHyperlink">
    <w:name w:val="FollowedHyperlink"/>
    <w:rsid w:val="00B87821"/>
    <w:rPr>
      <w:color w:val="800080"/>
      <w:u w:val="single"/>
    </w:rPr>
  </w:style>
  <w:style w:type="character" w:styleId="FootnoteReference">
    <w:name w:val="footnote reference"/>
    <w:semiHidden/>
    <w:rsid w:val="00B87821"/>
    <w:rPr>
      <w:vertAlign w:val="superscript"/>
    </w:rPr>
  </w:style>
  <w:style w:type="character" w:styleId="Hyperlink">
    <w:name w:val="Hyperlink"/>
    <w:rsid w:val="00B87821"/>
    <w:rPr>
      <w:color w:val="0000FF"/>
      <w:u w:val="single"/>
    </w:rPr>
  </w:style>
  <w:style w:type="paragraph" w:styleId="Index2">
    <w:name w:val="index 2"/>
    <w:basedOn w:val="Normal"/>
    <w:next w:val="Normal"/>
    <w:autoRedefine/>
    <w:semiHidden/>
    <w:rsid w:val="00B87821"/>
    <w:pPr>
      <w:ind w:left="480" w:hanging="240"/>
    </w:pPr>
  </w:style>
  <w:style w:type="paragraph" w:styleId="Index3">
    <w:name w:val="index 3"/>
    <w:basedOn w:val="Normal"/>
    <w:next w:val="Normal"/>
    <w:autoRedefine/>
    <w:semiHidden/>
    <w:rsid w:val="00B87821"/>
    <w:pPr>
      <w:ind w:left="720" w:hanging="240"/>
    </w:pPr>
  </w:style>
  <w:style w:type="paragraph" w:styleId="Index4">
    <w:name w:val="index 4"/>
    <w:basedOn w:val="Normal"/>
    <w:next w:val="Normal"/>
    <w:autoRedefine/>
    <w:semiHidden/>
    <w:rsid w:val="00B87821"/>
    <w:pPr>
      <w:ind w:left="960" w:hanging="240"/>
    </w:pPr>
  </w:style>
  <w:style w:type="paragraph" w:styleId="Index5">
    <w:name w:val="index 5"/>
    <w:basedOn w:val="Normal"/>
    <w:next w:val="Normal"/>
    <w:autoRedefine/>
    <w:semiHidden/>
    <w:rsid w:val="00B87821"/>
    <w:pPr>
      <w:ind w:left="1200" w:hanging="240"/>
    </w:pPr>
  </w:style>
  <w:style w:type="paragraph" w:styleId="Index6">
    <w:name w:val="index 6"/>
    <w:basedOn w:val="Normal"/>
    <w:next w:val="Normal"/>
    <w:autoRedefine/>
    <w:semiHidden/>
    <w:rsid w:val="00B87821"/>
    <w:pPr>
      <w:ind w:left="1440" w:hanging="240"/>
    </w:pPr>
  </w:style>
  <w:style w:type="paragraph" w:styleId="Index7">
    <w:name w:val="index 7"/>
    <w:basedOn w:val="Normal"/>
    <w:next w:val="Normal"/>
    <w:autoRedefine/>
    <w:semiHidden/>
    <w:rsid w:val="00B87821"/>
    <w:pPr>
      <w:ind w:left="1680" w:hanging="240"/>
    </w:pPr>
  </w:style>
  <w:style w:type="paragraph" w:styleId="Index8">
    <w:name w:val="index 8"/>
    <w:basedOn w:val="Normal"/>
    <w:next w:val="Normal"/>
    <w:autoRedefine/>
    <w:semiHidden/>
    <w:rsid w:val="00B87821"/>
    <w:pPr>
      <w:ind w:left="1920" w:hanging="240"/>
    </w:pPr>
  </w:style>
  <w:style w:type="paragraph" w:styleId="Index9">
    <w:name w:val="index 9"/>
    <w:basedOn w:val="Normal"/>
    <w:next w:val="Normal"/>
    <w:autoRedefine/>
    <w:semiHidden/>
    <w:rsid w:val="00B87821"/>
    <w:pPr>
      <w:ind w:left="2160" w:hanging="240"/>
    </w:pPr>
  </w:style>
  <w:style w:type="character" w:styleId="LineNumber">
    <w:name w:val="line number"/>
    <w:basedOn w:val="DefaultParagraphFont"/>
    <w:rsid w:val="00B87821"/>
  </w:style>
  <w:style w:type="paragraph" w:styleId="List">
    <w:name w:val="List"/>
    <w:basedOn w:val="Normal"/>
    <w:rsid w:val="00B87821"/>
    <w:pPr>
      <w:ind w:left="360" w:hanging="360"/>
    </w:pPr>
  </w:style>
  <w:style w:type="paragraph" w:styleId="List2">
    <w:name w:val="List 2"/>
    <w:basedOn w:val="Normal"/>
    <w:rsid w:val="00B87821"/>
    <w:pPr>
      <w:ind w:left="720" w:hanging="360"/>
    </w:pPr>
  </w:style>
  <w:style w:type="paragraph" w:styleId="List3">
    <w:name w:val="List 3"/>
    <w:basedOn w:val="Normal"/>
    <w:rsid w:val="00B87821"/>
    <w:pPr>
      <w:ind w:left="1080" w:hanging="360"/>
    </w:pPr>
  </w:style>
  <w:style w:type="paragraph" w:styleId="List4">
    <w:name w:val="List 4"/>
    <w:basedOn w:val="Normal"/>
    <w:rsid w:val="00B87821"/>
    <w:pPr>
      <w:ind w:left="1440" w:hanging="360"/>
    </w:pPr>
  </w:style>
  <w:style w:type="paragraph" w:styleId="List5">
    <w:name w:val="List 5"/>
    <w:basedOn w:val="Normal"/>
    <w:rsid w:val="00B87821"/>
    <w:pPr>
      <w:ind w:left="1800" w:hanging="360"/>
    </w:pPr>
  </w:style>
  <w:style w:type="paragraph" w:styleId="ListBullet">
    <w:name w:val="List Bullet"/>
    <w:basedOn w:val="Normal"/>
    <w:autoRedefine/>
    <w:rsid w:val="00B87821"/>
    <w:pPr>
      <w:numPr>
        <w:numId w:val="1"/>
      </w:numPr>
      <w:tabs>
        <w:tab w:val="clear" w:pos="360"/>
      </w:tabs>
    </w:pPr>
  </w:style>
  <w:style w:type="paragraph" w:styleId="ListBullet2">
    <w:name w:val="List Bullet 2"/>
    <w:basedOn w:val="Normal"/>
    <w:autoRedefine/>
    <w:rsid w:val="00B87821"/>
    <w:pPr>
      <w:numPr>
        <w:numId w:val="2"/>
      </w:numPr>
      <w:tabs>
        <w:tab w:val="clear" w:pos="720"/>
      </w:tabs>
    </w:pPr>
  </w:style>
  <w:style w:type="paragraph" w:styleId="ListBullet3">
    <w:name w:val="List Bullet 3"/>
    <w:basedOn w:val="Normal"/>
    <w:autoRedefine/>
    <w:rsid w:val="00B87821"/>
    <w:pPr>
      <w:numPr>
        <w:numId w:val="3"/>
      </w:numPr>
      <w:tabs>
        <w:tab w:val="clear" w:pos="1080"/>
      </w:tabs>
    </w:pPr>
  </w:style>
  <w:style w:type="paragraph" w:styleId="ListBullet4">
    <w:name w:val="List Bullet 4"/>
    <w:basedOn w:val="Normal"/>
    <w:autoRedefine/>
    <w:rsid w:val="00B87821"/>
    <w:pPr>
      <w:numPr>
        <w:numId w:val="4"/>
      </w:numPr>
      <w:tabs>
        <w:tab w:val="clear" w:pos="1440"/>
      </w:tabs>
    </w:pPr>
  </w:style>
  <w:style w:type="paragraph" w:styleId="ListBullet5">
    <w:name w:val="List Bullet 5"/>
    <w:basedOn w:val="Normal"/>
    <w:autoRedefine/>
    <w:rsid w:val="00B87821"/>
    <w:pPr>
      <w:numPr>
        <w:numId w:val="5"/>
      </w:numPr>
      <w:tabs>
        <w:tab w:val="clear" w:pos="1800"/>
      </w:tabs>
    </w:pPr>
  </w:style>
  <w:style w:type="paragraph" w:styleId="ListContinue">
    <w:name w:val="List Continue"/>
    <w:basedOn w:val="Normal"/>
    <w:rsid w:val="00B87821"/>
    <w:pPr>
      <w:spacing w:after="120"/>
      <w:ind w:left="360"/>
    </w:pPr>
  </w:style>
  <w:style w:type="paragraph" w:styleId="ListContinue2">
    <w:name w:val="List Continue 2"/>
    <w:basedOn w:val="Normal"/>
    <w:rsid w:val="00B87821"/>
    <w:pPr>
      <w:spacing w:after="120"/>
      <w:ind w:left="720"/>
    </w:pPr>
  </w:style>
  <w:style w:type="paragraph" w:styleId="ListContinue3">
    <w:name w:val="List Continue 3"/>
    <w:basedOn w:val="Normal"/>
    <w:rsid w:val="00B87821"/>
    <w:pPr>
      <w:spacing w:after="120"/>
      <w:ind w:left="1080"/>
    </w:pPr>
  </w:style>
  <w:style w:type="paragraph" w:styleId="ListContinue4">
    <w:name w:val="List Continue 4"/>
    <w:basedOn w:val="Normal"/>
    <w:rsid w:val="00B87821"/>
    <w:pPr>
      <w:spacing w:after="120"/>
      <w:ind w:left="1440"/>
    </w:pPr>
  </w:style>
  <w:style w:type="paragraph" w:styleId="ListContinue5">
    <w:name w:val="List Continue 5"/>
    <w:basedOn w:val="Normal"/>
    <w:rsid w:val="00B87821"/>
    <w:pPr>
      <w:spacing w:after="120"/>
      <w:ind w:left="1800"/>
    </w:pPr>
  </w:style>
  <w:style w:type="paragraph" w:styleId="ListNumber">
    <w:name w:val="List Number"/>
    <w:basedOn w:val="Normal"/>
    <w:rsid w:val="00B87821"/>
    <w:pPr>
      <w:numPr>
        <w:numId w:val="6"/>
      </w:numPr>
      <w:tabs>
        <w:tab w:val="clear" w:pos="360"/>
      </w:tabs>
    </w:pPr>
  </w:style>
  <w:style w:type="paragraph" w:styleId="ListNumber2">
    <w:name w:val="List Number 2"/>
    <w:basedOn w:val="Normal"/>
    <w:rsid w:val="00B87821"/>
    <w:pPr>
      <w:numPr>
        <w:numId w:val="7"/>
      </w:numPr>
      <w:tabs>
        <w:tab w:val="clear" w:pos="720"/>
      </w:tabs>
    </w:pPr>
  </w:style>
  <w:style w:type="paragraph" w:styleId="ListNumber3">
    <w:name w:val="List Number 3"/>
    <w:basedOn w:val="Normal"/>
    <w:rsid w:val="00B87821"/>
    <w:pPr>
      <w:numPr>
        <w:numId w:val="8"/>
      </w:numPr>
      <w:tabs>
        <w:tab w:val="clear" w:pos="1080"/>
      </w:tabs>
    </w:pPr>
  </w:style>
  <w:style w:type="paragraph" w:styleId="ListNumber4">
    <w:name w:val="List Number 4"/>
    <w:basedOn w:val="Normal"/>
    <w:rsid w:val="00B87821"/>
    <w:pPr>
      <w:numPr>
        <w:numId w:val="9"/>
      </w:numPr>
      <w:tabs>
        <w:tab w:val="clear" w:pos="1440"/>
      </w:tabs>
    </w:pPr>
  </w:style>
  <w:style w:type="paragraph" w:styleId="ListNumber5">
    <w:name w:val="List Number 5"/>
    <w:basedOn w:val="Normal"/>
    <w:rsid w:val="00B87821"/>
    <w:pPr>
      <w:numPr>
        <w:numId w:val="10"/>
      </w:numPr>
      <w:tabs>
        <w:tab w:val="clear" w:pos="1800"/>
      </w:tabs>
    </w:pPr>
  </w:style>
  <w:style w:type="paragraph" w:styleId="MessageHeader">
    <w:name w:val="Message Header"/>
    <w:basedOn w:val="Normal"/>
    <w:rsid w:val="00B8782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B87821"/>
    <w:pPr>
      <w:ind w:left="720"/>
    </w:pPr>
  </w:style>
  <w:style w:type="paragraph" w:styleId="NoteHeading">
    <w:name w:val="Note Heading"/>
    <w:basedOn w:val="Normal"/>
    <w:next w:val="Normal"/>
    <w:rsid w:val="00B87821"/>
  </w:style>
  <w:style w:type="character" w:styleId="PageNumber">
    <w:name w:val="page number"/>
    <w:basedOn w:val="DefaultParagraphFont"/>
    <w:rsid w:val="00B87821"/>
  </w:style>
  <w:style w:type="character" w:styleId="Strong">
    <w:name w:val="Strong"/>
    <w:qFormat/>
    <w:rsid w:val="00B87821"/>
    <w:rPr>
      <w:b/>
    </w:rPr>
  </w:style>
  <w:style w:type="paragraph" w:styleId="TableofAuthorities">
    <w:name w:val="table of authorities"/>
    <w:basedOn w:val="Normal"/>
    <w:next w:val="Normal"/>
    <w:semiHidden/>
    <w:rsid w:val="00B87821"/>
    <w:pPr>
      <w:ind w:left="240" w:hanging="240"/>
    </w:pPr>
  </w:style>
  <w:style w:type="paragraph" w:styleId="TableofFigures">
    <w:name w:val="table of figures"/>
    <w:basedOn w:val="Normal"/>
    <w:next w:val="Normal"/>
    <w:semiHidden/>
    <w:rsid w:val="00B87821"/>
    <w:pPr>
      <w:ind w:left="480" w:hanging="480"/>
    </w:pPr>
  </w:style>
  <w:style w:type="paragraph" w:styleId="TOAHeading">
    <w:name w:val="toa heading"/>
    <w:basedOn w:val="Normal"/>
    <w:next w:val="Normal"/>
    <w:semiHidden/>
    <w:rsid w:val="00B87821"/>
    <w:pPr>
      <w:spacing w:before="120"/>
    </w:pPr>
    <w:rPr>
      <w:rFonts w:ascii="Arial" w:hAnsi="Arial"/>
      <w:b/>
    </w:rPr>
  </w:style>
  <w:style w:type="paragraph" w:styleId="TOC1">
    <w:name w:val="toc 1"/>
    <w:basedOn w:val="Normal"/>
    <w:next w:val="Normal"/>
    <w:autoRedefine/>
    <w:uiPriority w:val="39"/>
    <w:rsid w:val="00B87821"/>
    <w:pPr>
      <w:keepNext/>
      <w:tabs>
        <w:tab w:val="left" w:pos="2160"/>
        <w:tab w:val="right" w:leader="dot" w:pos="9360"/>
      </w:tabs>
      <w:spacing w:before="240"/>
    </w:pPr>
    <w:rPr>
      <w:caps/>
      <w:noProof/>
    </w:rPr>
  </w:style>
  <w:style w:type="paragraph" w:styleId="TOC2">
    <w:name w:val="toc 2"/>
    <w:basedOn w:val="Normal"/>
    <w:next w:val="Normal"/>
    <w:autoRedefine/>
    <w:uiPriority w:val="39"/>
    <w:rsid w:val="00B87821"/>
    <w:pPr>
      <w:tabs>
        <w:tab w:val="left" w:pos="1440"/>
        <w:tab w:val="right" w:leader="dot" w:pos="9360"/>
      </w:tabs>
      <w:ind w:left="1440" w:right="720" w:hanging="720"/>
    </w:pPr>
    <w:rPr>
      <w:noProof/>
    </w:rPr>
  </w:style>
  <w:style w:type="paragraph" w:styleId="TOC3">
    <w:name w:val="toc 3"/>
    <w:basedOn w:val="Normal"/>
    <w:next w:val="Normal"/>
    <w:autoRedefine/>
    <w:semiHidden/>
    <w:rsid w:val="00B87821"/>
    <w:pPr>
      <w:ind w:left="480"/>
    </w:pPr>
  </w:style>
  <w:style w:type="paragraph" w:styleId="TOC4">
    <w:name w:val="toc 4"/>
    <w:basedOn w:val="Normal"/>
    <w:next w:val="Normal"/>
    <w:autoRedefine/>
    <w:semiHidden/>
    <w:rsid w:val="00B87821"/>
    <w:pPr>
      <w:ind w:left="720"/>
    </w:pPr>
  </w:style>
  <w:style w:type="paragraph" w:styleId="TOC5">
    <w:name w:val="toc 5"/>
    <w:basedOn w:val="Normal"/>
    <w:next w:val="Normal"/>
    <w:autoRedefine/>
    <w:semiHidden/>
    <w:rsid w:val="00B87821"/>
    <w:pPr>
      <w:ind w:left="960"/>
    </w:pPr>
  </w:style>
  <w:style w:type="paragraph" w:styleId="TOC6">
    <w:name w:val="toc 6"/>
    <w:basedOn w:val="Normal"/>
    <w:next w:val="Normal"/>
    <w:autoRedefine/>
    <w:semiHidden/>
    <w:rsid w:val="00B87821"/>
    <w:pPr>
      <w:ind w:left="1200"/>
    </w:pPr>
  </w:style>
  <w:style w:type="paragraph" w:styleId="TOC7">
    <w:name w:val="toc 7"/>
    <w:basedOn w:val="Normal"/>
    <w:next w:val="Normal"/>
    <w:autoRedefine/>
    <w:semiHidden/>
    <w:rsid w:val="00B87821"/>
    <w:pPr>
      <w:ind w:left="1440"/>
    </w:pPr>
  </w:style>
  <w:style w:type="paragraph" w:styleId="TOC8">
    <w:name w:val="toc 8"/>
    <w:basedOn w:val="Normal"/>
    <w:next w:val="Normal"/>
    <w:autoRedefine/>
    <w:semiHidden/>
    <w:rsid w:val="00B87821"/>
    <w:pPr>
      <w:ind w:left="1680"/>
    </w:pPr>
  </w:style>
  <w:style w:type="paragraph" w:styleId="TOC9">
    <w:name w:val="toc 9"/>
    <w:basedOn w:val="Normal"/>
    <w:next w:val="Normal"/>
    <w:autoRedefine/>
    <w:semiHidden/>
    <w:rsid w:val="00B87821"/>
    <w:pPr>
      <w:ind w:left="1920"/>
    </w:pPr>
  </w:style>
  <w:style w:type="paragraph" w:customStyle="1" w:styleId="BlockTextBold">
    <w:name w:val="BlockTextBold"/>
    <w:aliases w:val="blkb"/>
    <w:basedOn w:val="Normal"/>
    <w:rsid w:val="00B87821"/>
    <w:pPr>
      <w:spacing w:after="240"/>
      <w:jc w:val="both"/>
    </w:pPr>
    <w:rPr>
      <w:b/>
    </w:rPr>
  </w:style>
  <w:style w:type="paragraph" w:styleId="Quote">
    <w:name w:val="Quote"/>
    <w:basedOn w:val="Normal"/>
    <w:qFormat/>
    <w:rsid w:val="00B87821"/>
    <w:pPr>
      <w:spacing w:after="240"/>
      <w:ind w:left="1440" w:right="720"/>
      <w:jc w:val="both"/>
    </w:pPr>
  </w:style>
  <w:style w:type="paragraph" w:customStyle="1" w:styleId="BodyTextIndent2">
    <w:name w:val="BodyTextIndent2"/>
    <w:basedOn w:val="Normal"/>
    <w:rsid w:val="00B87821"/>
    <w:pPr>
      <w:spacing w:after="240"/>
      <w:ind w:left="1440" w:firstLine="720"/>
    </w:pPr>
  </w:style>
  <w:style w:type="paragraph" w:customStyle="1" w:styleId="blockwline">
    <w:name w:val="blockwline"/>
    <w:basedOn w:val="Normal"/>
    <w:rsid w:val="00B87821"/>
    <w:pPr>
      <w:tabs>
        <w:tab w:val="right" w:pos="9360"/>
      </w:tabs>
      <w:spacing w:after="120"/>
    </w:pPr>
  </w:style>
  <w:style w:type="paragraph" w:customStyle="1" w:styleId="CoverTitle">
    <w:name w:val="CoverTitle"/>
    <w:basedOn w:val="Normal"/>
    <w:rsid w:val="00B87821"/>
    <w:pPr>
      <w:jc w:val="center"/>
    </w:pPr>
    <w:rPr>
      <w:rFonts w:ascii="Arial Narrow" w:hAnsi="Arial Narrow"/>
      <w:spacing w:val="-20"/>
      <w:sz w:val="144"/>
    </w:rPr>
  </w:style>
  <w:style w:type="paragraph" w:customStyle="1" w:styleId="QuoteFirstIndent">
    <w:name w:val="QuoteFirstIndent"/>
    <w:basedOn w:val="Normal"/>
    <w:rsid w:val="00B87821"/>
    <w:pPr>
      <w:spacing w:after="240"/>
      <w:ind w:left="1440" w:right="720" w:firstLine="720"/>
      <w:jc w:val="both"/>
    </w:pPr>
  </w:style>
  <w:style w:type="paragraph" w:customStyle="1" w:styleId="blockindentwline">
    <w:name w:val="blockindentwline"/>
    <w:basedOn w:val="Normal"/>
    <w:rsid w:val="00B87821"/>
    <w:pPr>
      <w:tabs>
        <w:tab w:val="right" w:pos="9360"/>
      </w:tabs>
      <w:spacing w:after="120"/>
      <w:ind w:left="720"/>
    </w:pPr>
  </w:style>
  <w:style w:type="paragraph" w:customStyle="1" w:styleId="Signature-dbl">
    <w:name w:val="Signature-dbl"/>
    <w:basedOn w:val="Normal"/>
    <w:rsid w:val="00B87821"/>
    <w:pPr>
      <w:tabs>
        <w:tab w:val="right" w:pos="4320"/>
        <w:tab w:val="left" w:pos="5040"/>
        <w:tab w:val="right" w:pos="9360"/>
      </w:tabs>
      <w:spacing w:after="120"/>
    </w:pPr>
  </w:style>
  <w:style w:type="paragraph" w:customStyle="1" w:styleId="coverbody">
    <w:name w:val="coverbody"/>
    <w:basedOn w:val="Normal"/>
    <w:rsid w:val="00B87821"/>
    <w:pPr>
      <w:spacing w:after="200"/>
      <w:jc w:val="both"/>
    </w:pPr>
    <w:rPr>
      <w:sz w:val="20"/>
    </w:rPr>
  </w:style>
  <w:style w:type="paragraph" w:styleId="BodyTextIndent20">
    <w:name w:val="Body Text Indent 2"/>
    <w:basedOn w:val="Normal"/>
    <w:rsid w:val="00B87821"/>
    <w:pPr>
      <w:ind w:left="720"/>
    </w:pPr>
    <w:rPr>
      <w:sz w:val="20"/>
    </w:rPr>
  </w:style>
  <w:style w:type="character" w:customStyle="1" w:styleId="DocID">
    <w:name w:val="DocID"/>
    <w:rsid w:val="00B87821"/>
    <w:rPr>
      <w:rFonts w:ascii="Times New Roman" w:hAnsi="Times New Roman"/>
      <w:b w:val="0"/>
      <w:sz w:val="16"/>
    </w:rPr>
  </w:style>
  <w:style w:type="paragraph" w:styleId="BalloonText">
    <w:name w:val="Balloon Text"/>
    <w:basedOn w:val="Normal"/>
    <w:semiHidden/>
    <w:rsid w:val="00B87821"/>
    <w:rPr>
      <w:rFonts w:ascii="Tahoma" w:hAnsi="Tahoma" w:cs="Tahoma"/>
      <w:sz w:val="16"/>
      <w:szCs w:val="16"/>
    </w:rPr>
  </w:style>
  <w:style w:type="paragraph" w:customStyle="1" w:styleId="TableText">
    <w:name w:val="Table Text"/>
    <w:basedOn w:val="Normal"/>
    <w:rsid w:val="00B87821"/>
    <w:rPr>
      <w:sz w:val="20"/>
    </w:rPr>
  </w:style>
  <w:style w:type="paragraph" w:customStyle="1" w:styleId="Heading">
    <w:name w:val="Heading"/>
    <w:next w:val="BodyText"/>
    <w:rsid w:val="00B87821"/>
    <w:pPr>
      <w:keepNext/>
      <w:keepLines/>
      <w:suppressAutoHyphens/>
      <w:spacing w:before="120" w:after="280"/>
      <w:ind w:left="360" w:hanging="360"/>
    </w:pPr>
    <w:rPr>
      <w:rFonts w:ascii="Arial" w:hAnsi="Arial" w:cs="Arial"/>
      <w:b/>
      <w:sz w:val="24"/>
      <w:lang w:eastAsia="en-US"/>
    </w:rPr>
  </w:style>
  <w:style w:type="paragraph" w:customStyle="1" w:styleId="Style13">
    <w:name w:val="Style 13"/>
    <w:rsid w:val="00B87821"/>
    <w:pPr>
      <w:widowControl w:val="0"/>
      <w:autoSpaceDE w:val="0"/>
      <w:autoSpaceDN w:val="0"/>
      <w:spacing w:line="302" w:lineRule="auto"/>
    </w:pPr>
    <w:rPr>
      <w:rFonts w:ascii="Arial" w:hAnsi="Arial" w:cs="Arial"/>
      <w:sz w:val="22"/>
      <w:szCs w:val="22"/>
      <w:lang w:eastAsia="en-US"/>
    </w:rPr>
  </w:style>
  <w:style w:type="character" w:customStyle="1" w:styleId="CharacterStyle3">
    <w:name w:val="Character Style 3"/>
    <w:rsid w:val="00B87821"/>
    <w:rPr>
      <w:rFonts w:ascii="Arial" w:hAnsi="Arial" w:cs="Arial"/>
      <w:sz w:val="22"/>
      <w:szCs w:val="22"/>
    </w:rPr>
  </w:style>
  <w:style w:type="character" w:customStyle="1" w:styleId="DeltaViewInsertion">
    <w:name w:val="DeltaView Insertion"/>
    <w:rsid w:val="00394E93"/>
    <w:rPr>
      <w:color w:val="0000FF"/>
      <w:spacing w:val="0"/>
      <w:u w:val="double"/>
    </w:rPr>
  </w:style>
  <w:style w:type="paragraph" w:customStyle="1" w:styleId="Email">
    <w:name w:val="Email"/>
    <w:basedOn w:val="Normal"/>
    <w:rsid w:val="005B2FC7"/>
    <w:pPr>
      <w:spacing w:line="200" w:lineRule="exact"/>
    </w:pPr>
    <w:rPr>
      <w:rFonts w:ascii="Arial" w:hAnsi="Arial"/>
      <w:spacing w:val="5"/>
      <w:sz w:val="13"/>
      <w:szCs w:val="13"/>
    </w:rPr>
  </w:style>
  <w:style w:type="paragraph" w:customStyle="1" w:styleId="Letter">
    <w:name w:val="Letter"/>
    <w:basedOn w:val="Normal"/>
    <w:rsid w:val="005B2FC7"/>
    <w:pPr>
      <w:spacing w:line="200" w:lineRule="exact"/>
    </w:pPr>
    <w:rPr>
      <w:rFonts w:ascii="Arial" w:hAnsi="Arial"/>
      <w:caps/>
      <w:spacing w:val="5"/>
      <w:sz w:val="13"/>
      <w:szCs w:val="13"/>
    </w:rPr>
  </w:style>
  <w:style w:type="paragraph" w:customStyle="1" w:styleId="TxBrp0">
    <w:name w:val="TxBr_p0"/>
    <w:basedOn w:val="Normal"/>
    <w:rsid w:val="00DE479B"/>
    <w:pPr>
      <w:widowControl w:val="0"/>
      <w:tabs>
        <w:tab w:val="left" w:pos="204"/>
      </w:tabs>
      <w:autoSpaceDE w:val="0"/>
      <w:autoSpaceDN w:val="0"/>
      <w:adjustRightInd w:val="0"/>
      <w:spacing w:line="240" w:lineRule="atLeast"/>
      <w:jc w:val="both"/>
    </w:pPr>
    <w:rPr>
      <w:szCs w:val="24"/>
    </w:rPr>
  </w:style>
  <w:style w:type="paragraph" w:customStyle="1" w:styleId="ListNumbers">
    <w:name w:val="List Numbers"/>
    <w:basedOn w:val="List"/>
    <w:rsid w:val="003055D4"/>
    <w:pPr>
      <w:numPr>
        <w:numId w:val="24"/>
      </w:numPr>
      <w:spacing w:after="120"/>
    </w:pPr>
    <w:rPr>
      <w:sz w:val="20"/>
    </w:rPr>
  </w:style>
  <w:style w:type="paragraph" w:styleId="Revision">
    <w:name w:val="Revision"/>
    <w:hidden/>
    <w:uiPriority w:val="99"/>
    <w:semiHidden/>
    <w:rsid w:val="00D51A9E"/>
    <w:rPr>
      <w:sz w:val="24"/>
      <w:lang w:eastAsia="en-US"/>
    </w:rPr>
  </w:style>
  <w:style w:type="paragraph" w:customStyle="1" w:styleId="Default">
    <w:name w:val="Default"/>
    <w:rsid w:val="00D62442"/>
    <w:pPr>
      <w:autoSpaceDE w:val="0"/>
      <w:autoSpaceDN w:val="0"/>
      <w:adjustRightInd w:val="0"/>
    </w:pPr>
    <w:rPr>
      <w:color w:val="000000"/>
      <w:sz w:val="24"/>
      <w:szCs w:val="24"/>
    </w:rPr>
  </w:style>
  <w:style w:type="character" w:customStyle="1" w:styleId="HeaderChar">
    <w:name w:val="Header Char"/>
    <w:basedOn w:val="DefaultParagraphFont"/>
    <w:link w:val="Header"/>
    <w:rsid w:val="00955F58"/>
    <w:rPr>
      <w:sz w:val="24"/>
      <w:lang w:eastAsia="en-US"/>
    </w:rPr>
  </w:style>
  <w:style w:type="paragraph" w:styleId="ListParagraph">
    <w:name w:val="List Paragraph"/>
    <w:basedOn w:val="Normal"/>
    <w:uiPriority w:val="34"/>
    <w:qFormat/>
    <w:rsid w:val="00C22767"/>
    <w:pPr>
      <w:ind w:left="720"/>
      <w:contextualSpacing/>
    </w:pPr>
  </w:style>
  <w:style w:type="character" w:customStyle="1" w:styleId="BodyTextChar">
    <w:name w:val="Body Text Char"/>
    <w:basedOn w:val="DefaultParagraphFont"/>
    <w:link w:val="BodyText"/>
    <w:rsid w:val="005C535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171285">
      <w:bodyDiv w:val="1"/>
      <w:marLeft w:val="0"/>
      <w:marRight w:val="0"/>
      <w:marTop w:val="0"/>
      <w:marBottom w:val="0"/>
      <w:divBdr>
        <w:top w:val="none" w:sz="0" w:space="0" w:color="auto"/>
        <w:left w:val="none" w:sz="0" w:space="0" w:color="auto"/>
        <w:bottom w:val="none" w:sz="0" w:space="0" w:color="auto"/>
        <w:right w:val="none" w:sz="0" w:space="0" w:color="auto"/>
      </w:divBdr>
    </w:div>
    <w:div w:id="312415528">
      <w:bodyDiv w:val="1"/>
      <w:marLeft w:val="0"/>
      <w:marRight w:val="0"/>
      <w:marTop w:val="0"/>
      <w:marBottom w:val="0"/>
      <w:divBdr>
        <w:top w:val="none" w:sz="0" w:space="0" w:color="auto"/>
        <w:left w:val="none" w:sz="0" w:space="0" w:color="auto"/>
        <w:bottom w:val="none" w:sz="0" w:space="0" w:color="auto"/>
        <w:right w:val="none" w:sz="0" w:space="0" w:color="auto"/>
      </w:divBdr>
    </w:div>
    <w:div w:id="1070271121">
      <w:bodyDiv w:val="1"/>
      <w:marLeft w:val="0"/>
      <w:marRight w:val="0"/>
      <w:marTop w:val="0"/>
      <w:marBottom w:val="0"/>
      <w:divBdr>
        <w:top w:val="none" w:sz="0" w:space="0" w:color="auto"/>
        <w:left w:val="none" w:sz="0" w:space="0" w:color="auto"/>
        <w:bottom w:val="none" w:sz="0" w:space="0" w:color="auto"/>
        <w:right w:val="none" w:sz="0" w:space="0" w:color="auto"/>
      </w:divBdr>
    </w:div>
    <w:div w:id="1207375934">
      <w:bodyDiv w:val="1"/>
      <w:marLeft w:val="0"/>
      <w:marRight w:val="0"/>
      <w:marTop w:val="0"/>
      <w:marBottom w:val="0"/>
      <w:divBdr>
        <w:top w:val="none" w:sz="0" w:space="0" w:color="auto"/>
        <w:left w:val="none" w:sz="0" w:space="0" w:color="auto"/>
        <w:bottom w:val="none" w:sz="0" w:space="0" w:color="auto"/>
        <w:right w:val="none" w:sz="0" w:space="0" w:color="auto"/>
      </w:divBdr>
    </w:div>
    <w:div w:id="1269973900">
      <w:bodyDiv w:val="1"/>
      <w:marLeft w:val="0"/>
      <w:marRight w:val="0"/>
      <w:marTop w:val="0"/>
      <w:marBottom w:val="0"/>
      <w:divBdr>
        <w:top w:val="none" w:sz="0" w:space="0" w:color="auto"/>
        <w:left w:val="none" w:sz="0" w:space="0" w:color="auto"/>
        <w:bottom w:val="none" w:sz="0" w:space="0" w:color="auto"/>
        <w:right w:val="none" w:sz="0" w:space="0" w:color="auto"/>
      </w:divBdr>
    </w:div>
    <w:div w:id="1456634851">
      <w:bodyDiv w:val="1"/>
      <w:marLeft w:val="0"/>
      <w:marRight w:val="0"/>
      <w:marTop w:val="0"/>
      <w:marBottom w:val="0"/>
      <w:divBdr>
        <w:top w:val="none" w:sz="0" w:space="0" w:color="auto"/>
        <w:left w:val="none" w:sz="0" w:space="0" w:color="auto"/>
        <w:bottom w:val="none" w:sz="0" w:space="0" w:color="auto"/>
        <w:right w:val="none" w:sz="0" w:space="0" w:color="auto"/>
      </w:divBdr>
    </w:div>
    <w:div w:id="1654482236">
      <w:bodyDiv w:val="1"/>
      <w:marLeft w:val="0"/>
      <w:marRight w:val="0"/>
      <w:marTop w:val="0"/>
      <w:marBottom w:val="0"/>
      <w:divBdr>
        <w:top w:val="none" w:sz="0" w:space="0" w:color="auto"/>
        <w:left w:val="none" w:sz="0" w:space="0" w:color="auto"/>
        <w:bottom w:val="none" w:sz="0" w:space="0" w:color="auto"/>
        <w:right w:val="none" w:sz="0" w:space="0" w:color="auto"/>
      </w:divBdr>
    </w:div>
    <w:div w:id="1686007806">
      <w:bodyDiv w:val="1"/>
      <w:marLeft w:val="0"/>
      <w:marRight w:val="0"/>
      <w:marTop w:val="0"/>
      <w:marBottom w:val="0"/>
      <w:divBdr>
        <w:top w:val="none" w:sz="0" w:space="0" w:color="auto"/>
        <w:left w:val="none" w:sz="0" w:space="0" w:color="auto"/>
        <w:bottom w:val="none" w:sz="0" w:space="0" w:color="auto"/>
        <w:right w:val="none" w:sz="0" w:space="0" w:color="auto"/>
      </w:divBdr>
    </w:div>
    <w:div w:id="1757553673">
      <w:bodyDiv w:val="1"/>
      <w:marLeft w:val="0"/>
      <w:marRight w:val="0"/>
      <w:marTop w:val="0"/>
      <w:marBottom w:val="0"/>
      <w:divBdr>
        <w:top w:val="none" w:sz="0" w:space="0" w:color="auto"/>
        <w:left w:val="none" w:sz="0" w:space="0" w:color="auto"/>
        <w:bottom w:val="none" w:sz="0" w:space="0" w:color="auto"/>
        <w:right w:val="none" w:sz="0" w:space="0" w:color="auto"/>
      </w:divBdr>
    </w:div>
    <w:div w:id="203071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8DA27-177C-45BE-9671-C256434C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23555</Words>
  <Characters>134270</Characters>
  <Application>Microsoft Office Word</Application>
  <DocSecurity>0</DocSecurity>
  <Lines>1118</Lines>
  <Paragraphs>315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2020-03-23T20:09:00Z</dcterms:created>
  <dcterms:modified xsi:type="dcterms:W3CDTF">2021-02-16T18:48:00Z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C139285</vt:lpwstr>
  </property>
</Properties>
</file>